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5C1F378A" w:rsidR="006B5A32" w:rsidRDefault="00CE1CB7" w:rsidP="006B5A32">
      <w:pPr>
        <w:ind w:left="360" w:right="3682"/>
      </w:pPr>
      <w:r>
        <w:rPr>
          <w:b/>
          <w:sz w:val="36"/>
        </w:rPr>
        <w:t>ZAPYTANIE OFERTOWE nr 10/K/2019 z dnia 25</w:t>
      </w:r>
      <w:r w:rsidR="00A64CD2">
        <w:rPr>
          <w:b/>
          <w:sz w:val="36"/>
        </w:rPr>
        <w:t>.02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5A1435CA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CE1CB7">
        <w:rPr>
          <w:b/>
          <w:color w:val="FF701C"/>
          <w:u w:val="single" w:color="FF701C"/>
        </w:rPr>
        <w:t>DATA ZAMIESZCZENIA: 25</w:t>
      </w:r>
      <w:r w:rsidR="00A64CD2">
        <w:rPr>
          <w:b/>
          <w:color w:val="FF701C"/>
          <w:u w:val="single" w:color="FF701C"/>
        </w:rPr>
        <w:t>.02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1482AC6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E1CB7">
        <w:rPr>
          <w:b/>
        </w:rPr>
        <w:t>Marzec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6BB819AD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675B25">
        <w:rPr>
          <w:b/>
        </w:rPr>
        <w:t>Marzec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09CEDFF2" w:rsidR="006B5A32" w:rsidRDefault="00CE1CB7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10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0C0D93C2" w:rsidR="006B5A32" w:rsidRDefault="00CE1CB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Y0000221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5871BFCA" w:rsidR="006B5A32" w:rsidRDefault="00CE1CB7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505A6BF6" w:rsidR="006B5A32" w:rsidRDefault="00CE1CB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op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6D451916" w:rsidR="006C711B" w:rsidRDefault="00CE1CB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identification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Y0001754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4C6301EF" w:rsidR="006C711B" w:rsidRPr="006C711B" w:rsidRDefault="00CE1CB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06C22856" w:rsidR="006C711B" w:rsidRPr="006C711B" w:rsidRDefault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30834832" w:rsidR="006C711B" w:rsidRDefault="00CE1CB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</w:t>
            </w:r>
            <w:r>
              <w:rPr>
                <w:rFonts w:ascii="Calibri" w:hAnsi="Calibri"/>
                <w:sz w:val="22"/>
                <w:szCs w:val="22"/>
              </w:rPr>
              <w:t>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identification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 zgodnie z nr. Kat. Y0001755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38CA0F69" w:rsidR="006C711B" w:rsidRDefault="00CE1CB7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26B9453D" w:rsidR="006C711B" w:rsidRDefault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813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8136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3F91F2F3" w:rsidR="00E02E87" w:rsidRDefault="00E02E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7B941F46" w:rsidR="00E02E87" w:rsidRDefault="00CE1CB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Salmaterol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xinafoate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identyfication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 - standard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Y0001625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743F6397" w:rsidR="00E02E87" w:rsidRDefault="00CE1CB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60ADB078" w:rsidR="00E02E87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2E8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2B46771E" w:rsidR="00613B45" w:rsidRDefault="00613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509F4842" w:rsidR="00613B45" w:rsidRDefault="00CE1CB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Salmaterol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xinafoate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</w:t>
            </w:r>
            <w:r>
              <w:rPr>
                <w:rFonts w:ascii="Calibri" w:hAnsi="Calibri"/>
                <w:sz w:val="22"/>
                <w:szCs w:val="22"/>
              </w:rPr>
              <w:t xml:space="preserve">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Y0000423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7351EAF4" w:rsidR="00613B45" w:rsidRDefault="00CE1CB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B809458" w:rsidR="00613B45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580CDF5D" w:rsidR="00613B45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6AD1C568" w:rsidR="00613B45" w:rsidRDefault="00CE1CB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Zidovudine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 CRS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Z1904000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536AC56D" w:rsidR="00613B45" w:rsidRDefault="00E278C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199A5DF9" w:rsidR="00613B45" w:rsidRDefault="00F27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17A37BC6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6B1A39FB" w:rsidR="00002F51" w:rsidRDefault="00F27929" w:rsidP="00002F5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Lamivudine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 CRS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Y0000518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77EECEF0" w:rsidR="00002F51" w:rsidRDefault="00F2792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6EE25CC0" w:rsidR="00002F51" w:rsidRDefault="00E278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128016CF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504FB52B" w:rsidR="00002F51" w:rsidRDefault="00F27929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2-Propanol 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91237 -10ML-F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43FC940F" w:rsidR="00002F51" w:rsidRDefault="00F2792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75F7B95E" w:rsidR="00002F51" w:rsidRDefault="00F279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245F3839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D90B" w14:textId="73FCB760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5091" w14:textId="374FAF6B" w:rsidR="003E1511" w:rsidRDefault="00291B19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Pharmaceutical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Secondary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 zgodnie z nr.kat.PHR1666-3x1.2ML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C8EC9" w14:textId="102981F9" w:rsidR="003E1511" w:rsidRDefault="00291B1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3x1.2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E9321" w14:textId="002A79C3" w:rsidR="003E1511" w:rsidRDefault="00291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 w:rsidR="00F44ED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1970AA0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894" w14:textId="12388FFD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1528" w14:textId="0ADBD0EA" w:rsidR="003E1511" w:rsidRDefault="00291B19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Methanol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3E151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82762-10ML-F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6CA1" w14:textId="11CC09D1" w:rsidR="003E1511" w:rsidRDefault="00291B1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3592B" w14:textId="2FDD6674" w:rsidR="003E1511" w:rsidRDefault="00256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54676D8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9E05" w14:textId="1EE23D13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0F18" w14:textId="586B1025" w:rsidR="003E1511" w:rsidRDefault="00291B19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acetate,analytical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 zgodnie z nr.kat.58958-5ML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C723" w14:textId="15A92582" w:rsidR="003E1511" w:rsidRDefault="00291B1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FF4987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F6520" w14:textId="2D4A5AEE" w:rsidR="003E1511" w:rsidRDefault="00FF4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7769FA80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0D1C" w14:textId="37BBF2B1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DBDE" w14:textId="07BE2DF4" w:rsidR="003E1511" w:rsidRDefault="00291B19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Isopropyl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acetate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 zgodnie z nr.kat.90871-5ML-F</w:t>
            </w:r>
            <w:r w:rsidR="00FF49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98E51" w14:textId="5B685042" w:rsidR="003E1511" w:rsidRDefault="00291B1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FF4987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59BE1" w14:textId="30604F4D" w:rsidR="003E1511" w:rsidRDefault="00FF49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9117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91172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91172" w14:paraId="01AA9C9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1B8" w14:textId="09462786" w:rsidR="00091172" w:rsidRDefault="000911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EE97" w14:textId="2647430B" w:rsidR="00091172" w:rsidRDefault="00291B19" w:rsidP="00291B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Acetone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Pharmaceutical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Secondary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</w:t>
            </w:r>
            <w:r w:rsidR="00FF4987">
              <w:rPr>
                <w:rFonts w:ascii="Calibri" w:hAnsi="Calibri"/>
                <w:sz w:val="22"/>
                <w:szCs w:val="22"/>
              </w:rPr>
              <w:t xml:space="preserve"> zgodnie z nr.kat.</w:t>
            </w:r>
            <w:r>
              <w:rPr>
                <w:rFonts w:ascii="Calibri" w:hAnsi="Calibri"/>
                <w:sz w:val="22"/>
                <w:szCs w:val="22"/>
              </w:rPr>
              <w:t>PHR1219-3x1.5ML</w:t>
            </w:r>
            <w:r w:rsidR="00091172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DDC2A" w14:textId="66F15E8D" w:rsidR="00091172" w:rsidRDefault="00291B19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3x1.5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411C5" w14:textId="2DFEC188" w:rsidR="00091172" w:rsidRDefault="00291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9117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91172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91172" w14:paraId="5DC5AFE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31" w14:textId="03FA511E" w:rsidR="00091172" w:rsidRDefault="000911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DA5A" w14:textId="15CD1F0C" w:rsidR="00091172" w:rsidRDefault="00291B19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N,N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Dimethylacetamide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</w:t>
            </w:r>
            <w:r w:rsidR="00091172">
              <w:rPr>
                <w:rFonts w:ascii="Calibri" w:hAnsi="Calibri"/>
                <w:sz w:val="22"/>
                <w:szCs w:val="22"/>
              </w:rPr>
              <w:t xml:space="preserve"> zgodnie z nr.kat.</w:t>
            </w:r>
            <w:r w:rsidR="008E3DC1">
              <w:rPr>
                <w:rFonts w:ascii="Calibri" w:hAnsi="Calibri"/>
                <w:sz w:val="22"/>
                <w:szCs w:val="22"/>
              </w:rPr>
              <w:t>72336-5ML-F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88995" w14:textId="45E215EA" w:rsidR="00091172" w:rsidRDefault="008E3DC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A40E1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2FFA2" w14:textId="394C750C" w:rsidR="00091172" w:rsidRDefault="007A40E1" w:rsidP="007A4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 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4031D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24031D" w14:paraId="1E232862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EA8" w14:textId="45D0EF93" w:rsidR="0024031D" w:rsidRDefault="00240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D2AF" w14:textId="1580A5B3" w:rsidR="0024031D" w:rsidRDefault="008E3DC1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Lamivudine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 zgodnie z nr.kat.Y0000426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83A46" w14:textId="4D496080" w:rsidR="0024031D" w:rsidRDefault="008E3DC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10,3</w:t>
            </w:r>
            <w:r w:rsidR="007A40E1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059D6" w14:textId="31FEED48" w:rsidR="0024031D" w:rsidRDefault="007A40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4031D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A40E1" w14:paraId="560F08EB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D9E6" w14:textId="318D65C8" w:rsidR="007A40E1" w:rsidRDefault="007A40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04006" w14:textId="503A6AAE" w:rsidR="007A40E1" w:rsidRDefault="008E3DC1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Zidovudine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nr.kat.Y0001641 </w:t>
            </w:r>
            <w:r w:rsidR="007A40E1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4D623" w14:textId="4ED3AA8B" w:rsidR="007A40E1" w:rsidRDefault="008E3DC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7A40E1">
              <w:rPr>
                <w:rFonts w:ascii="Calibri" w:hAnsi="Calibri"/>
                <w:sz w:val="22"/>
                <w:szCs w:val="22"/>
              </w:rPr>
              <w:t xml:space="preserve"> m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7B9C7" w14:textId="112642FB" w:rsidR="007A40E1" w:rsidRDefault="007A40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A40E1" w14:paraId="0FF127B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12F" w14:textId="03E441F9" w:rsidR="007A40E1" w:rsidRDefault="007A40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A54A" w14:textId="0596BB3D" w:rsidR="007A40E1" w:rsidRDefault="008E3DC1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Zidovudine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 zgodnie z nr.kat.Y0001654</w:t>
            </w:r>
            <w:r w:rsidR="007A40E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CF115" w14:textId="5F46B9D1" w:rsidR="007A40E1" w:rsidRDefault="008E3DC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8D5E" w14:textId="18E73783" w:rsidR="007A40E1" w:rsidRDefault="008E3D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A40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A40E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A40E1" w14:paraId="32A75E51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CF8A" w14:textId="287DAADE" w:rsidR="007A40E1" w:rsidRDefault="007A40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BC66" w14:textId="4940CF0C" w:rsidR="007A40E1" w:rsidRDefault="008E3DC1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Quetiapine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 w:rsidR="00345E56">
              <w:rPr>
                <w:rFonts w:ascii="Calibri" w:hAnsi="Calibri"/>
                <w:sz w:val="22"/>
                <w:szCs w:val="22"/>
              </w:rPr>
              <w:t xml:space="preserve"> CRS zgodnie z nr.kat.Y0001419</w:t>
            </w:r>
            <w:r w:rsidR="007A40E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F51AC" w14:textId="20C551DC" w:rsidR="007A40E1" w:rsidRDefault="00345E5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2,005 mg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D0B4E" w14:textId="18A3B4AB" w:rsidR="007A40E1" w:rsidRDefault="00345E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A40E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A40E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45E56" w14:paraId="1D15E7A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07E4" w14:textId="2E696273" w:rsidR="00345E56" w:rsidRDefault="00345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85EE" w14:textId="476D9BE6" w:rsidR="00345E56" w:rsidRDefault="00345E56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22 ml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Vial,Screw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Top Solid Cap with PTFE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nr.kat.27172-U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6B59A" w14:textId="5302A63D" w:rsidR="00345E56" w:rsidRDefault="00345E5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1D359" w14:textId="27B04A47" w:rsidR="00345E56" w:rsidRDefault="00345E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45E56" w14:paraId="73D7872B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32D" w14:textId="1BF2A9ED" w:rsidR="00345E56" w:rsidRDefault="00345E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F3AE1" w14:textId="361A10FB" w:rsidR="00345E56" w:rsidRDefault="006A7443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Wialki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Waters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12x32</w:t>
            </w:r>
            <w:bookmarkStart w:id="0" w:name="_GoBack"/>
            <w:bookmarkEnd w:id="0"/>
            <w:r w:rsidR="00345E56">
              <w:rPr>
                <w:rFonts w:ascii="Calibri" w:hAnsi="Calibri"/>
                <w:sz w:val="22"/>
                <w:szCs w:val="22"/>
              </w:rPr>
              <w:t xml:space="preserve"> mm zgodnie z nr kat.186000307C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281F0" w14:textId="7308B563" w:rsidR="00345E56" w:rsidRDefault="00345E5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wialek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F9080" w14:textId="302382F0" w:rsidR="00345E56" w:rsidRDefault="00345E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 op.</w:t>
            </w:r>
          </w:p>
        </w:tc>
      </w:tr>
    </w:tbl>
    <w:p w14:paraId="0FEF9918" w14:textId="77777777" w:rsidR="006B5A32" w:rsidRDefault="006B5A32" w:rsidP="006B5A32">
      <w:pPr>
        <w:spacing w:line="259" w:lineRule="auto"/>
      </w:pPr>
    </w:p>
    <w:p w14:paraId="75D0F473" w14:textId="77777777" w:rsidR="006B5A32" w:rsidRDefault="006B5A32" w:rsidP="006B5A32">
      <w:pPr>
        <w:spacing w:line="259" w:lineRule="auto"/>
        <w:ind w:left="35"/>
        <w:jc w:val="center"/>
      </w:pPr>
      <w:r>
        <w:rPr>
          <w:b/>
          <w:sz w:val="18"/>
        </w:rPr>
        <w:t xml:space="preserve"> </w:t>
      </w: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lastRenderedPageBreak/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lastRenderedPageBreak/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47BE3061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345E56">
        <w:rPr>
          <w:b/>
        </w:rPr>
        <w:t>04.03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BECCF" w14:textId="77777777" w:rsidR="00005FBC" w:rsidRDefault="00005FBC">
      <w:r>
        <w:separator/>
      </w:r>
    </w:p>
  </w:endnote>
  <w:endnote w:type="continuationSeparator" w:id="0">
    <w:p w14:paraId="299A74BD" w14:textId="77777777" w:rsidR="00005FBC" w:rsidRDefault="0000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CC23" w14:textId="77777777" w:rsidR="00005FBC" w:rsidRDefault="00005FBC">
      <w:r>
        <w:separator/>
      </w:r>
    </w:p>
  </w:footnote>
  <w:footnote w:type="continuationSeparator" w:id="0">
    <w:p w14:paraId="63680394" w14:textId="77777777" w:rsidR="00005FBC" w:rsidRDefault="0000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031D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45E56"/>
    <w:rsid w:val="00353963"/>
    <w:rsid w:val="0036220A"/>
    <w:rsid w:val="003C5479"/>
    <w:rsid w:val="003C548D"/>
    <w:rsid w:val="003E1511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1365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6ED4"/>
    <w:rsid w:val="009F6562"/>
    <w:rsid w:val="00A544D0"/>
    <w:rsid w:val="00A54650"/>
    <w:rsid w:val="00A55DA9"/>
    <w:rsid w:val="00A64CD2"/>
    <w:rsid w:val="00A9330D"/>
    <w:rsid w:val="00AA5341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27929"/>
    <w:rsid w:val="00F44EDC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70939F-5F3E-4DCE-83F0-83FFED0F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2019-02-25T10:39:00Z</cp:lastPrinted>
  <dcterms:created xsi:type="dcterms:W3CDTF">2019-02-25T10:47:00Z</dcterms:created>
  <dcterms:modified xsi:type="dcterms:W3CDTF">2019-02-25T10:47:00Z</dcterms:modified>
</cp:coreProperties>
</file>