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C81517E" w14:textId="77777777" w:rsidR="00F93EE2" w:rsidRDefault="00F93EE2" w:rsidP="00F93EE2">
      <w:pPr>
        <w:spacing w:after="47" w:line="259" w:lineRule="auto"/>
      </w:pPr>
    </w:p>
    <w:p w14:paraId="38205160" w14:textId="2D414DC7" w:rsidR="00F93EE2" w:rsidRDefault="00F93EE2" w:rsidP="00F93EE2">
      <w:pPr>
        <w:ind w:left="360" w:right="3682"/>
      </w:pPr>
      <w:r>
        <w:rPr>
          <w:b/>
          <w:sz w:val="36"/>
        </w:rPr>
        <w:t>ZAPYTANIE OFERTOWE nr 32/K/2019 z dnia 09.12.2019</w:t>
      </w:r>
    </w:p>
    <w:p w14:paraId="4ADEA5F8" w14:textId="77777777" w:rsidR="00F93EE2" w:rsidRDefault="00F93EE2" w:rsidP="00F93EE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 dla firmy CELON PHARMA SA  z siedzibą w Kiełpinie. </w:t>
      </w:r>
    </w:p>
    <w:p w14:paraId="5A91E99E" w14:textId="77777777" w:rsidR="00F93EE2" w:rsidRDefault="00F93EE2" w:rsidP="00F93EE2">
      <w:pPr>
        <w:spacing w:line="259" w:lineRule="auto"/>
        <w:ind w:left="360"/>
      </w:pPr>
      <w:r>
        <w:t xml:space="preserve"> </w:t>
      </w:r>
    </w:p>
    <w:p w14:paraId="2ABC3A07" w14:textId="77777777" w:rsidR="00F93EE2" w:rsidRDefault="00F93EE2" w:rsidP="00F93EE2">
      <w:pPr>
        <w:spacing w:line="259" w:lineRule="auto"/>
      </w:pPr>
      <w:r>
        <w:t xml:space="preserve">       Celon Pharma S.A składa zaproszenie do składania ofert. </w:t>
      </w:r>
    </w:p>
    <w:p w14:paraId="120ADA0A" w14:textId="77777777" w:rsidR="00F93EE2" w:rsidRDefault="00F93EE2" w:rsidP="00F93EE2">
      <w:pPr>
        <w:spacing w:after="4" w:line="259" w:lineRule="auto"/>
        <w:ind w:left="360"/>
      </w:pPr>
      <w:r>
        <w:t xml:space="preserve"> </w:t>
      </w:r>
    </w:p>
    <w:p w14:paraId="455B6DA6" w14:textId="1AA1BF7D" w:rsidR="00F93EE2" w:rsidRDefault="00F93EE2" w:rsidP="00F93EE2">
      <w:pPr>
        <w:spacing w:line="259" w:lineRule="auto"/>
      </w:pPr>
      <w:r>
        <w:rPr>
          <w:b/>
          <w:sz w:val="28"/>
        </w:rPr>
        <w:t xml:space="preserve">      </w:t>
      </w:r>
      <w:r>
        <w:rPr>
          <w:b/>
          <w:color w:val="FF701C"/>
          <w:u w:val="single" w:color="FF701C"/>
        </w:rPr>
        <w:t>DATA ZAMIESZCZENIA: …09.12.2019</w:t>
      </w:r>
      <w:r>
        <w:rPr>
          <w:b/>
          <w:color w:val="FF701C"/>
        </w:rPr>
        <w:t xml:space="preserve"> </w:t>
      </w:r>
    </w:p>
    <w:p w14:paraId="5F8A6619" w14:textId="77777777" w:rsidR="00F93EE2" w:rsidRDefault="00F93EE2" w:rsidP="00F93EE2">
      <w:pPr>
        <w:spacing w:line="259" w:lineRule="auto"/>
      </w:pPr>
      <w:r>
        <w:rPr>
          <w:b/>
          <w:color w:val="FF701C"/>
        </w:rPr>
        <w:t xml:space="preserve">       </w:t>
      </w:r>
    </w:p>
    <w:p w14:paraId="5B7BC364" w14:textId="77777777" w:rsidR="00F93EE2" w:rsidRDefault="00F93EE2" w:rsidP="00F93EE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3603CC43" w14:textId="77777777" w:rsidR="00F93EE2" w:rsidRDefault="00F93EE2" w:rsidP="00F93EE2">
      <w:pPr>
        <w:spacing w:line="259" w:lineRule="auto"/>
        <w:ind w:left="360"/>
      </w:pPr>
      <w:r>
        <w:rPr>
          <w:b/>
        </w:rPr>
        <w:t xml:space="preserve"> </w:t>
      </w:r>
    </w:p>
    <w:p w14:paraId="4AC0069F" w14:textId="77777777" w:rsidR="00F93EE2" w:rsidRDefault="00F93EE2" w:rsidP="00F93EE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43CAEB43" w14:textId="77777777" w:rsidR="00F93EE2" w:rsidRDefault="00F93EE2" w:rsidP="00F93EE2">
      <w:pPr>
        <w:spacing w:line="259" w:lineRule="auto"/>
        <w:ind w:left="360"/>
      </w:pPr>
      <w:r>
        <w:rPr>
          <w:b/>
        </w:rPr>
        <w:t xml:space="preserve"> </w:t>
      </w:r>
    </w:p>
    <w:p w14:paraId="5AB03996" w14:textId="77777777" w:rsidR="00F93EE2" w:rsidRDefault="00F93EE2" w:rsidP="00F93EE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359E1DF0" w14:textId="77777777" w:rsidR="00F93EE2" w:rsidRDefault="00F93EE2" w:rsidP="00F93EE2">
      <w:pPr>
        <w:spacing w:line="259" w:lineRule="auto"/>
        <w:ind w:left="360"/>
      </w:pPr>
      <w:r>
        <w:rPr>
          <w:b/>
        </w:rPr>
        <w:t xml:space="preserve"> </w:t>
      </w:r>
    </w:p>
    <w:p w14:paraId="0DEF4FFD" w14:textId="77777777" w:rsidR="00F93EE2" w:rsidRDefault="00F93EE2" w:rsidP="00F93EE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30DC618C" w14:textId="77777777" w:rsidR="00F93EE2" w:rsidRDefault="00F93EE2" w:rsidP="00F93EE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1196FA06" w14:textId="77777777" w:rsidR="00F93EE2" w:rsidRDefault="00F93EE2" w:rsidP="00F93EE2">
      <w:pPr>
        <w:spacing w:line="259" w:lineRule="auto"/>
        <w:ind w:left="360"/>
      </w:pPr>
      <w:r>
        <w:rPr>
          <w:b/>
        </w:rPr>
        <w:t xml:space="preserve"> </w:t>
      </w:r>
    </w:p>
    <w:p w14:paraId="68027A90" w14:textId="77777777" w:rsidR="00F93EE2" w:rsidRDefault="00F93EE2" w:rsidP="00F93EE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224E3F8" w14:textId="77777777" w:rsidR="00F93EE2" w:rsidRDefault="00F93EE2" w:rsidP="00F93EE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1C4A6C06" w14:textId="77777777" w:rsidR="00F93EE2" w:rsidRDefault="00F93EE2" w:rsidP="00F93EE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6E1EEE3B" w14:textId="77777777" w:rsidR="00F93EE2" w:rsidRDefault="00F93EE2" w:rsidP="00F93EE2">
      <w:pPr>
        <w:spacing w:line="259" w:lineRule="auto"/>
        <w:ind w:left="360"/>
      </w:pPr>
      <w:r>
        <w:rPr>
          <w:b/>
        </w:rPr>
        <w:t xml:space="preserve"> </w:t>
      </w:r>
    </w:p>
    <w:p w14:paraId="33A63549" w14:textId="77777777" w:rsidR="00F93EE2" w:rsidRDefault="00F93EE2" w:rsidP="00F93EE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0A570212" w14:textId="77777777" w:rsidR="00F93EE2" w:rsidRDefault="00F93EE2" w:rsidP="00F93EE2">
      <w:pPr>
        <w:spacing w:after="5" w:line="250" w:lineRule="auto"/>
        <w:ind w:left="355" w:right="2431" w:hanging="10"/>
      </w:pPr>
      <w:r>
        <w:rPr>
          <w:b/>
        </w:rPr>
        <w:t xml:space="preserve">Rozpoczęcie: 01.01.2020 </w:t>
      </w:r>
    </w:p>
    <w:p w14:paraId="46F72A21" w14:textId="77777777" w:rsidR="00F93EE2" w:rsidRDefault="00F93EE2" w:rsidP="00F93EE2">
      <w:pPr>
        <w:spacing w:line="259" w:lineRule="auto"/>
        <w:ind w:left="360"/>
      </w:pPr>
      <w:r>
        <w:rPr>
          <w:b/>
        </w:rPr>
        <w:t xml:space="preserve"> </w:t>
      </w:r>
    </w:p>
    <w:p w14:paraId="131819AB" w14:textId="77777777" w:rsidR="00F93EE2" w:rsidRDefault="00F93EE2" w:rsidP="00F93EE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1E9D7B42" w14:textId="77777777" w:rsidR="00F93EE2" w:rsidRDefault="00F93EE2" w:rsidP="00F93EE2">
      <w:pPr>
        <w:spacing w:after="5" w:line="250" w:lineRule="auto"/>
        <w:ind w:left="355" w:right="2431" w:hanging="10"/>
      </w:pPr>
      <w:r>
        <w:rPr>
          <w:b/>
        </w:rPr>
        <w:t>Zakończenie: 31.12.2020</w:t>
      </w:r>
    </w:p>
    <w:p w14:paraId="1A8E470E" w14:textId="77777777" w:rsidR="00F93EE2" w:rsidRDefault="00F93EE2" w:rsidP="00F93EE2">
      <w:pPr>
        <w:spacing w:line="259" w:lineRule="auto"/>
        <w:ind w:left="360"/>
      </w:pPr>
      <w:r>
        <w:rPr>
          <w:b/>
        </w:rPr>
        <w:t xml:space="preserve"> </w:t>
      </w:r>
    </w:p>
    <w:p w14:paraId="5F48A0C7" w14:textId="77777777" w:rsidR="00F93EE2" w:rsidRDefault="00F93EE2" w:rsidP="00F93EE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004CD115" w14:textId="77777777" w:rsidR="00F93EE2" w:rsidRDefault="00F93EE2" w:rsidP="00F93EE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1DFDBD7E" w14:textId="77777777" w:rsidR="00F93EE2" w:rsidRDefault="00F93EE2" w:rsidP="00F93EE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A5B3A5B" w14:textId="77777777" w:rsidR="00F93EE2" w:rsidRDefault="00F93EE2" w:rsidP="00F93EE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08DA8409" w14:textId="77777777" w:rsidR="00F93EE2" w:rsidRDefault="00F93EE2" w:rsidP="00F93EE2">
      <w:pPr>
        <w:spacing w:after="157" w:line="259" w:lineRule="auto"/>
      </w:pPr>
      <w:r>
        <w:t xml:space="preserve">      </w:t>
      </w:r>
    </w:p>
    <w:p w14:paraId="4A3BD22F" w14:textId="77777777" w:rsidR="00F93EE2" w:rsidRDefault="00F93EE2" w:rsidP="00F93EE2">
      <w:pPr>
        <w:spacing w:after="157" w:line="259" w:lineRule="auto"/>
      </w:pPr>
      <w:r>
        <w:t xml:space="preserve">             </w:t>
      </w:r>
    </w:p>
    <w:p w14:paraId="420811FB" w14:textId="73FB429E" w:rsidR="00F93EE2" w:rsidRDefault="00F93EE2" w:rsidP="00F93EE2">
      <w:pPr>
        <w:spacing w:after="157" w:line="259" w:lineRule="auto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4AA69350" w14:textId="77777777" w:rsidR="00F93EE2" w:rsidRDefault="00F93EE2" w:rsidP="00F93EE2">
      <w:pPr>
        <w:numPr>
          <w:ilvl w:val="0"/>
          <w:numId w:val="16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736E48B0" w14:textId="77777777" w:rsidR="00F93EE2" w:rsidRDefault="00F93EE2" w:rsidP="00F93EE2">
      <w:pPr>
        <w:numPr>
          <w:ilvl w:val="0"/>
          <w:numId w:val="16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68E785F7" w14:textId="77777777" w:rsidR="00F93EE2" w:rsidRDefault="00F93EE2" w:rsidP="00F93EE2">
      <w:pPr>
        <w:numPr>
          <w:ilvl w:val="0"/>
          <w:numId w:val="16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150B42A7" w14:textId="77777777" w:rsidR="00F93EE2" w:rsidRDefault="00F93EE2" w:rsidP="00F93EE2">
      <w:pPr>
        <w:numPr>
          <w:ilvl w:val="0"/>
          <w:numId w:val="16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6C08C60D" w14:textId="77777777" w:rsidR="00F93EE2" w:rsidRDefault="00F93EE2" w:rsidP="00F93EE2">
      <w:pPr>
        <w:numPr>
          <w:ilvl w:val="0"/>
          <w:numId w:val="16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27A2C235" w14:textId="77777777" w:rsidR="00F93EE2" w:rsidRDefault="00F93EE2" w:rsidP="00F93EE2">
      <w:pPr>
        <w:numPr>
          <w:ilvl w:val="0"/>
          <w:numId w:val="16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2A012ADF" w14:textId="77777777" w:rsidR="00F93EE2" w:rsidRDefault="00F93EE2" w:rsidP="00F93EE2">
      <w:pPr>
        <w:numPr>
          <w:ilvl w:val="0"/>
          <w:numId w:val="16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09D668A9" w14:textId="77777777" w:rsidR="00F93EE2" w:rsidRDefault="00F93EE2" w:rsidP="00F93EE2">
      <w:pPr>
        <w:numPr>
          <w:ilvl w:val="0"/>
          <w:numId w:val="16"/>
        </w:numPr>
        <w:spacing w:after="108" w:line="248" w:lineRule="auto"/>
        <w:ind w:hanging="348"/>
        <w:jc w:val="both"/>
      </w:pPr>
      <w:r>
        <w:t xml:space="preserve">Celon Pharma S.A po wyborze oferenta głównego, wskaże  oferenta alternatywnego o czym zostanie on niezwłocznie poinformowany w formie mailowej. </w:t>
      </w:r>
    </w:p>
    <w:p w14:paraId="0179BEFD" w14:textId="77777777" w:rsidR="00F93EE2" w:rsidRDefault="00F93EE2" w:rsidP="00F93EE2">
      <w:pPr>
        <w:numPr>
          <w:ilvl w:val="0"/>
          <w:numId w:val="16"/>
        </w:numPr>
        <w:spacing w:after="108" w:line="248" w:lineRule="auto"/>
        <w:ind w:hanging="348"/>
        <w:jc w:val="both"/>
      </w:pPr>
      <w:r>
        <w:t>W przypadku gdy pierwszy dostawca nie będzie mógł zrealizować zamówienia zostanie ono zlecone alternatywnemu.</w:t>
      </w:r>
    </w:p>
    <w:p w14:paraId="36A0AE1A" w14:textId="77777777" w:rsidR="00F93EE2" w:rsidRDefault="00F93EE2" w:rsidP="00F93EE2">
      <w:pPr>
        <w:numPr>
          <w:ilvl w:val="0"/>
          <w:numId w:val="16"/>
        </w:numPr>
        <w:spacing w:after="108" w:line="248" w:lineRule="auto"/>
        <w:ind w:hanging="348"/>
      </w:pPr>
      <w:r>
        <w:t>Zamówienia będą składanie raz na miesiąc bądź raz na kwartał.</w:t>
      </w:r>
    </w:p>
    <w:p w14:paraId="4D43EC25" w14:textId="77777777" w:rsidR="00F93EE2" w:rsidRPr="00D378D8" w:rsidRDefault="00F93EE2" w:rsidP="00F93EE2">
      <w:pPr>
        <w:spacing w:line="259" w:lineRule="auto"/>
        <w:ind w:hanging="368"/>
      </w:pPr>
      <w:r>
        <w:t xml:space="preserve"> </w:t>
      </w:r>
      <w:r w:rsidRPr="006155EB">
        <w:rPr>
          <w:b/>
        </w:rPr>
        <w:t>SZCZEGÓŁY DOTYCZĄCE PRZEDMIOTU ZAMÓWIENIA</w:t>
      </w:r>
      <w:r w:rsidRPr="00D378D8">
        <w:rPr>
          <w:b/>
        </w:rPr>
        <w:t xml:space="preserve">: </w:t>
      </w:r>
    </w:p>
    <w:p w14:paraId="41C71E6F" w14:textId="60096DAC" w:rsidR="00F93EE2" w:rsidRPr="00D378D8" w:rsidRDefault="00F93EE2" w:rsidP="00F93EE2">
      <w:pPr>
        <w:spacing w:line="259" w:lineRule="auto"/>
        <w:ind w:left="360"/>
      </w:pPr>
      <w:r w:rsidRPr="00D378D8">
        <w:rPr>
          <w:b/>
          <w:u w:val="single" w:color="000000"/>
        </w:rPr>
        <w:t>PRZEDMIOT ZAPYTANIA …</w:t>
      </w:r>
      <w:r>
        <w:rPr>
          <w:b/>
          <w:u w:val="single" w:color="000000"/>
        </w:rPr>
        <w:t>32/K</w:t>
      </w:r>
      <w:r w:rsidRPr="00D378D8">
        <w:rPr>
          <w:b/>
          <w:u w:val="single" w:color="000000"/>
        </w:rPr>
        <w:t>/2019</w:t>
      </w:r>
    </w:p>
    <w:p w14:paraId="0EE75DBF" w14:textId="77777777" w:rsidR="00F93EE2" w:rsidRDefault="00F93EE2" w:rsidP="00F93EE2">
      <w:pPr>
        <w:spacing w:line="259" w:lineRule="auto"/>
      </w:pPr>
      <w:r>
        <w:rPr>
          <w:b/>
          <w:sz w:val="18"/>
        </w:rPr>
        <w:t xml:space="preserve"> </w:t>
      </w:r>
    </w:p>
    <w:tbl>
      <w:tblPr>
        <w:tblStyle w:val="TableGrid"/>
        <w:tblW w:w="7611" w:type="dxa"/>
        <w:tblInd w:w="-68" w:type="dxa"/>
        <w:tblCellMar>
          <w:top w:w="46" w:type="dxa"/>
          <w:left w:w="68" w:type="dxa"/>
          <w:right w:w="89" w:type="dxa"/>
        </w:tblCellMar>
        <w:tblLook w:val="04A0" w:firstRow="1" w:lastRow="0" w:firstColumn="1" w:lastColumn="0" w:noHBand="0" w:noVBand="1"/>
      </w:tblPr>
      <w:tblGrid>
        <w:gridCol w:w="4778"/>
        <w:gridCol w:w="2833"/>
      </w:tblGrid>
      <w:tr w:rsidR="00F93EE2" w14:paraId="036A7A76" w14:textId="77777777" w:rsidTr="00D378D8">
        <w:trPr>
          <w:trHeight w:val="404"/>
        </w:trPr>
        <w:tc>
          <w:tcPr>
            <w:tcW w:w="4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7D31"/>
            <w:vAlign w:val="center"/>
          </w:tcPr>
          <w:p w14:paraId="5D041E8F" w14:textId="77777777" w:rsidR="00F93EE2" w:rsidRDefault="00F93EE2" w:rsidP="00D378D8">
            <w:pPr>
              <w:spacing w:line="259" w:lineRule="auto"/>
              <w:ind w:left="1"/>
              <w:jc w:val="center"/>
            </w:pPr>
            <w:r>
              <w:rPr>
                <w:b/>
                <w:color w:val="FFFFFF"/>
                <w:sz w:val="20"/>
              </w:rPr>
              <w:t>NAZWA TOWARU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14:paraId="02153A4E" w14:textId="77777777" w:rsidR="00F93EE2" w:rsidRDefault="00F93EE2" w:rsidP="00D378D8">
            <w:pPr>
              <w:spacing w:line="259" w:lineRule="auto"/>
              <w:ind w:left="1"/>
              <w:jc w:val="center"/>
            </w:pPr>
            <w:r>
              <w:rPr>
                <w:b/>
                <w:color w:val="FFFFFF"/>
                <w:sz w:val="20"/>
              </w:rPr>
              <w:t>WIELKOŚĆ OPAKOWANIA JEDNOSTKOWEGO</w:t>
            </w:r>
          </w:p>
        </w:tc>
      </w:tr>
      <w:tr w:rsidR="00F93EE2" w14:paraId="3DA9918F" w14:textId="77777777" w:rsidTr="00D378D8">
        <w:trPr>
          <w:trHeight w:val="43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B638" w14:textId="77777777" w:rsidR="00F93EE2" w:rsidRDefault="00F93EE2" w:rsidP="00D378D8">
            <w:pPr>
              <w:spacing w:line="259" w:lineRule="auto"/>
              <w:ind w:left="40"/>
              <w:jc w:val="center"/>
            </w:pPr>
            <w:r>
              <w:t xml:space="preserve">Metanol gradient zgodny z nr katalogowym 1.06007.2500 </w:t>
            </w:r>
            <w:proofErr w:type="spellStart"/>
            <w:r>
              <w:t>Merck</w:t>
            </w:r>
            <w:proofErr w:type="spellEnd"/>
            <w:r>
              <w:t xml:space="preserve">  lub równoważnym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5967" w14:textId="77777777" w:rsidR="00F93EE2" w:rsidRPr="00F03E78" w:rsidRDefault="00F93EE2" w:rsidP="00D378D8">
            <w:pPr>
              <w:spacing w:line="259" w:lineRule="auto"/>
              <w:ind w:left="40" w:right="4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03E78">
              <w:rPr>
                <w:sz w:val="20"/>
                <w:szCs w:val="20"/>
              </w:rPr>
              <w:t>Butelka szklana 2500 ml</w:t>
            </w:r>
          </w:p>
        </w:tc>
      </w:tr>
      <w:tr w:rsidR="00F93EE2" w14:paraId="705C9393" w14:textId="77777777" w:rsidTr="00D378D8">
        <w:trPr>
          <w:trHeight w:val="3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E188" w14:textId="77777777" w:rsidR="00F93EE2" w:rsidRDefault="00F93EE2" w:rsidP="00D378D8">
            <w:pPr>
              <w:spacing w:line="259" w:lineRule="auto"/>
              <w:ind w:left="40"/>
              <w:jc w:val="center"/>
            </w:pPr>
            <w:r>
              <w:t xml:space="preserve">Metanol LC-MS zgodny z nr katalogowym 1.06035.2500 </w:t>
            </w:r>
            <w:proofErr w:type="spellStart"/>
            <w:r>
              <w:t>Merck</w:t>
            </w:r>
            <w:proofErr w:type="spellEnd"/>
            <w:r>
              <w:t xml:space="preserve"> lub równoważnym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FC4A" w14:textId="77777777" w:rsidR="00F93EE2" w:rsidRPr="00F03E78" w:rsidRDefault="00F93EE2" w:rsidP="00D378D8">
            <w:pPr>
              <w:spacing w:line="259" w:lineRule="auto"/>
              <w:ind w:left="40" w:right="306"/>
              <w:jc w:val="center"/>
              <w:rPr>
                <w:sz w:val="20"/>
                <w:szCs w:val="20"/>
              </w:rPr>
            </w:pPr>
            <w:r w:rsidRPr="00F03E78">
              <w:rPr>
                <w:sz w:val="20"/>
                <w:szCs w:val="20"/>
              </w:rPr>
              <w:t>Butelka szklana 2500 ml</w:t>
            </w:r>
          </w:p>
        </w:tc>
      </w:tr>
      <w:tr w:rsidR="00F93EE2" w14:paraId="2FD5A0EE" w14:textId="77777777" w:rsidTr="00D378D8">
        <w:trPr>
          <w:trHeight w:val="36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4F70" w14:textId="77777777" w:rsidR="00F93EE2" w:rsidRDefault="00F93EE2" w:rsidP="00D378D8">
            <w:pPr>
              <w:spacing w:line="259" w:lineRule="auto"/>
              <w:ind w:left="40"/>
              <w:jc w:val="center"/>
            </w:pPr>
            <w:proofErr w:type="spellStart"/>
            <w:r>
              <w:t>Acetonitryl</w:t>
            </w:r>
            <w:proofErr w:type="spellEnd"/>
            <w:r>
              <w:t xml:space="preserve"> gradient zgodny z nr katalogowym 1.00030.2500 </w:t>
            </w:r>
            <w:proofErr w:type="spellStart"/>
            <w:r>
              <w:t>Merck</w:t>
            </w:r>
            <w:proofErr w:type="spellEnd"/>
            <w:r>
              <w:t xml:space="preserve">  lub równoważnym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37DA" w14:textId="77777777" w:rsidR="00F93EE2" w:rsidRPr="00F03E78" w:rsidRDefault="00F93EE2" w:rsidP="00D378D8">
            <w:pPr>
              <w:spacing w:line="259" w:lineRule="auto"/>
              <w:ind w:left="40" w:right="306"/>
              <w:jc w:val="center"/>
              <w:rPr>
                <w:sz w:val="20"/>
                <w:szCs w:val="20"/>
              </w:rPr>
            </w:pPr>
            <w:r w:rsidRPr="00F03E78">
              <w:rPr>
                <w:sz w:val="20"/>
                <w:szCs w:val="20"/>
              </w:rPr>
              <w:t>Butelka szklana 2500 ml</w:t>
            </w:r>
          </w:p>
        </w:tc>
      </w:tr>
      <w:tr w:rsidR="00F93EE2" w14:paraId="2CA84CCB" w14:textId="77777777" w:rsidTr="00D378D8">
        <w:trPr>
          <w:trHeight w:val="37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922B" w14:textId="77777777" w:rsidR="00F93EE2" w:rsidRDefault="00F93EE2" w:rsidP="00D378D8">
            <w:pPr>
              <w:spacing w:line="259" w:lineRule="auto"/>
              <w:ind w:left="40"/>
              <w:jc w:val="center"/>
            </w:pPr>
            <w:proofErr w:type="spellStart"/>
            <w:r>
              <w:t>Acetonitryl</w:t>
            </w:r>
            <w:proofErr w:type="spellEnd"/>
            <w:r>
              <w:t xml:space="preserve"> LC-MS zgodny z nr katalogowym 1.00029.2500 </w:t>
            </w:r>
            <w:proofErr w:type="spellStart"/>
            <w:r>
              <w:t>Merck</w:t>
            </w:r>
            <w:proofErr w:type="spellEnd"/>
            <w:r>
              <w:t xml:space="preserve"> lub równoważnym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734EF1" w14:textId="77777777" w:rsidR="00F93EE2" w:rsidRPr="00F03E78" w:rsidRDefault="00F93EE2" w:rsidP="00D378D8">
            <w:pPr>
              <w:spacing w:line="259" w:lineRule="auto"/>
              <w:ind w:left="40" w:right="306"/>
              <w:jc w:val="center"/>
              <w:rPr>
                <w:sz w:val="20"/>
                <w:szCs w:val="20"/>
              </w:rPr>
            </w:pPr>
            <w:r w:rsidRPr="00F03E78">
              <w:rPr>
                <w:sz w:val="20"/>
                <w:szCs w:val="20"/>
              </w:rPr>
              <w:t>Butelka szklana 2500 ml</w:t>
            </w:r>
          </w:p>
        </w:tc>
      </w:tr>
    </w:tbl>
    <w:p w14:paraId="38CE8EBF" w14:textId="77777777" w:rsidR="00391371" w:rsidRDefault="00391371" w:rsidP="00F93EE2">
      <w:pPr>
        <w:spacing w:after="90" w:line="259" w:lineRule="auto"/>
        <w:rPr>
          <w:b/>
          <w:sz w:val="18"/>
        </w:rPr>
      </w:pPr>
    </w:p>
    <w:p w14:paraId="4F96C809" w14:textId="77777777" w:rsidR="00F93EE2" w:rsidRDefault="00F93EE2" w:rsidP="00F93EE2">
      <w:pPr>
        <w:spacing w:after="90" w:line="259" w:lineRule="auto"/>
      </w:pPr>
      <w:r>
        <w:rPr>
          <w:b/>
          <w:sz w:val="18"/>
        </w:rPr>
        <w:lastRenderedPageBreak/>
        <w:t xml:space="preserve"> </w:t>
      </w:r>
      <w:r w:rsidRPr="00D378D8">
        <w:t xml:space="preserve">Zamówienia z oferty mogą być zamawiane drogą mailową, przez stronę internetową, zgodnie </w:t>
      </w:r>
      <w:r>
        <w:br/>
      </w:r>
      <w:r w:rsidRPr="00D378D8">
        <w:t>z tabelą poniżej.</w:t>
      </w:r>
    </w:p>
    <w:tbl>
      <w:tblPr>
        <w:tblStyle w:val="TableGrid"/>
        <w:tblW w:w="9860" w:type="dxa"/>
        <w:tblInd w:w="-68" w:type="dxa"/>
        <w:tblCellMar>
          <w:top w:w="46" w:type="dxa"/>
          <w:left w:w="68" w:type="dxa"/>
          <w:right w:w="89" w:type="dxa"/>
        </w:tblCellMar>
        <w:tblLook w:val="04A0" w:firstRow="1" w:lastRow="0" w:firstColumn="1" w:lastColumn="0" w:noHBand="0" w:noVBand="1"/>
      </w:tblPr>
      <w:tblGrid>
        <w:gridCol w:w="438"/>
        <w:gridCol w:w="3164"/>
        <w:gridCol w:w="1851"/>
        <w:gridCol w:w="2355"/>
        <w:gridCol w:w="2052"/>
      </w:tblGrid>
      <w:tr w:rsidR="00391371" w14:paraId="68F1DEA6" w14:textId="77777777" w:rsidTr="00B07A4E">
        <w:trPr>
          <w:trHeight w:val="40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7D31"/>
            <w:vAlign w:val="center"/>
          </w:tcPr>
          <w:p w14:paraId="2BAA1B0C" w14:textId="77777777" w:rsidR="00391371" w:rsidRDefault="00391371" w:rsidP="00B07A4E">
            <w:pPr>
              <w:spacing w:line="259" w:lineRule="auto"/>
            </w:pPr>
            <w:r>
              <w:rPr>
                <w:b/>
                <w:color w:val="FFFFFF"/>
                <w:sz w:val="20"/>
              </w:rPr>
              <w:t xml:space="preserve">LP.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7D31"/>
            <w:vAlign w:val="center"/>
          </w:tcPr>
          <w:p w14:paraId="37DC5DE6" w14:textId="77777777" w:rsidR="00391371" w:rsidRDefault="00391371" w:rsidP="00B07A4E">
            <w:pPr>
              <w:spacing w:line="259" w:lineRule="auto"/>
              <w:ind w:left="1"/>
              <w:jc w:val="center"/>
            </w:pPr>
            <w:r>
              <w:rPr>
                <w:b/>
                <w:color w:val="FFFFFF"/>
                <w:sz w:val="20"/>
              </w:rPr>
              <w:t>NAZWA TOWARU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7D31"/>
          </w:tcPr>
          <w:p w14:paraId="1C0AFF6C" w14:textId="77777777" w:rsidR="00391371" w:rsidRDefault="00391371" w:rsidP="00B07A4E">
            <w:pPr>
              <w:spacing w:line="259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NUMER KATALOGOWY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14:paraId="6CF594EB" w14:textId="77777777" w:rsidR="00391371" w:rsidRDefault="00391371" w:rsidP="00B07A4E">
            <w:pPr>
              <w:spacing w:line="259" w:lineRule="auto"/>
              <w:ind w:left="1"/>
              <w:jc w:val="center"/>
            </w:pPr>
            <w:r>
              <w:rPr>
                <w:b/>
                <w:color w:val="FFFFFF"/>
                <w:sz w:val="20"/>
              </w:rPr>
              <w:t>WIELKOŚĆ OPAKOWANIA JEDNOSTKOWEGO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245EEE8A" w14:textId="77777777" w:rsidR="00391371" w:rsidRDefault="00391371" w:rsidP="00B07A4E">
            <w:pPr>
              <w:spacing w:line="259" w:lineRule="auto"/>
              <w:ind w:left="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ILOŚĆ OPAKOWAŃ</w:t>
            </w:r>
          </w:p>
        </w:tc>
      </w:tr>
      <w:tr w:rsidR="00391371" w14:paraId="704A64FF" w14:textId="77777777" w:rsidTr="00B07A4E">
        <w:trPr>
          <w:trHeight w:val="4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8130" w14:textId="77777777" w:rsidR="00391371" w:rsidRDefault="00391371" w:rsidP="00B07A4E">
            <w:pPr>
              <w:spacing w:line="259" w:lineRule="auto"/>
              <w:jc w:val="center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E415" w14:textId="77777777" w:rsidR="00391371" w:rsidRDefault="00391371" w:rsidP="00B07A4E">
            <w:pPr>
              <w:spacing w:line="259" w:lineRule="auto"/>
              <w:ind w:left="40"/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C4B6" w14:textId="77777777" w:rsidR="00391371" w:rsidRDefault="00391371" w:rsidP="00B07A4E">
            <w:pPr>
              <w:spacing w:line="259" w:lineRule="auto"/>
              <w:ind w:left="40" w:right="478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2DBE" w14:textId="77777777" w:rsidR="00391371" w:rsidRPr="00F03E78" w:rsidRDefault="00391371" w:rsidP="00B07A4E">
            <w:pPr>
              <w:spacing w:line="259" w:lineRule="auto"/>
              <w:ind w:left="40" w:right="4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B1A1" w14:textId="77777777" w:rsidR="00391371" w:rsidRDefault="00391371" w:rsidP="00B07A4E">
            <w:pPr>
              <w:spacing w:line="259" w:lineRule="auto"/>
              <w:ind w:left="40" w:right="478"/>
              <w:jc w:val="center"/>
              <w:rPr>
                <w:sz w:val="20"/>
                <w:szCs w:val="20"/>
              </w:rPr>
            </w:pPr>
          </w:p>
        </w:tc>
      </w:tr>
    </w:tbl>
    <w:p w14:paraId="67470C27" w14:textId="77777777" w:rsidR="00391371" w:rsidRDefault="00391371" w:rsidP="00F93EE2">
      <w:pPr>
        <w:spacing w:after="90" w:line="259" w:lineRule="auto"/>
      </w:pPr>
      <w:bookmarkStart w:id="0" w:name="_GoBack"/>
      <w:bookmarkEnd w:id="0"/>
    </w:p>
    <w:p w14:paraId="45879EC7" w14:textId="77777777" w:rsidR="00F93EE2" w:rsidRPr="00D378D8" w:rsidRDefault="00F93EE2" w:rsidP="00F93EE2">
      <w:pPr>
        <w:spacing w:after="90" w:line="259" w:lineRule="auto"/>
      </w:pPr>
    </w:p>
    <w:p w14:paraId="7EE3047E" w14:textId="77777777" w:rsidR="00F93EE2" w:rsidRDefault="00F93EE2" w:rsidP="00F93EE2">
      <w:pPr>
        <w:numPr>
          <w:ilvl w:val="0"/>
          <w:numId w:val="17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 w istotnym stopniu wpłyną na kształt prowadzonych prac B+R, w opisie przedmiotu zamówienia z przyczyn technicznych o obiektywnym charakterze podano nr katalogowy produktu/ów.  </w:t>
      </w:r>
    </w:p>
    <w:p w14:paraId="66304B8F" w14:textId="77777777" w:rsidR="00F93EE2" w:rsidRDefault="00F93EE2" w:rsidP="00F93EE2">
      <w:pPr>
        <w:numPr>
          <w:ilvl w:val="0"/>
          <w:numId w:val="17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65CF9B77" w14:textId="77777777" w:rsidR="00F93EE2" w:rsidRDefault="00F93EE2" w:rsidP="00F93EE2">
      <w:pPr>
        <w:numPr>
          <w:ilvl w:val="1"/>
          <w:numId w:val="17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688C215C" w14:textId="77777777" w:rsidR="00F93EE2" w:rsidRDefault="00F93EE2" w:rsidP="00F93EE2">
      <w:pPr>
        <w:numPr>
          <w:ilvl w:val="1"/>
          <w:numId w:val="17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62E8AD4C" w14:textId="77777777" w:rsidR="00F93EE2" w:rsidRDefault="00F93EE2" w:rsidP="00F93EE2">
      <w:pPr>
        <w:numPr>
          <w:ilvl w:val="1"/>
          <w:numId w:val="17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134D2583" w14:textId="77777777" w:rsidR="00F93EE2" w:rsidRDefault="00F93EE2" w:rsidP="00F93EE2">
      <w:pPr>
        <w:numPr>
          <w:ilvl w:val="0"/>
          <w:numId w:val="17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11A4D175" w14:textId="77777777" w:rsidR="00F93EE2" w:rsidRDefault="00F93EE2" w:rsidP="00F93EE2">
      <w:pPr>
        <w:numPr>
          <w:ilvl w:val="1"/>
          <w:numId w:val="17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7B043830" w14:textId="77777777" w:rsidR="00F93EE2" w:rsidRDefault="00F93EE2" w:rsidP="00F93EE2">
      <w:pPr>
        <w:numPr>
          <w:ilvl w:val="1"/>
          <w:numId w:val="17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6BEC7C9A" w14:textId="77777777" w:rsidR="00F93EE2" w:rsidRDefault="00F93EE2" w:rsidP="00F93EE2">
      <w:pPr>
        <w:numPr>
          <w:ilvl w:val="1"/>
          <w:numId w:val="17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6A7500D3" w14:textId="77777777" w:rsidR="00F93EE2" w:rsidRDefault="00F93EE2" w:rsidP="00F93EE2">
      <w:pPr>
        <w:spacing w:line="259" w:lineRule="auto"/>
        <w:ind w:left="360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p w14:paraId="25AD999D" w14:textId="77777777" w:rsidR="00F93EE2" w:rsidRDefault="00F93EE2" w:rsidP="00F93EE2">
      <w:pPr>
        <w:spacing w:line="259" w:lineRule="auto"/>
        <w:ind w:left="360"/>
      </w:pPr>
    </w:p>
    <w:p w14:paraId="0FEAD249" w14:textId="77777777" w:rsidR="00F93EE2" w:rsidRDefault="00F93EE2" w:rsidP="00F93EE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3E92017A" w14:textId="77777777" w:rsidR="00F93EE2" w:rsidRDefault="00F93EE2" w:rsidP="00F93EE2">
      <w:pPr>
        <w:numPr>
          <w:ilvl w:val="1"/>
          <w:numId w:val="17"/>
        </w:numPr>
        <w:spacing w:after="5" w:line="250" w:lineRule="auto"/>
        <w:ind w:hanging="360"/>
        <w:jc w:val="both"/>
      </w:pPr>
      <w:r>
        <w:rPr>
          <w:b/>
        </w:rPr>
        <w:t xml:space="preserve">cena  30% </w:t>
      </w:r>
    </w:p>
    <w:p w14:paraId="024F7FB0" w14:textId="77777777" w:rsidR="00F93EE2" w:rsidRDefault="00F93EE2" w:rsidP="00F93EE2">
      <w:pPr>
        <w:numPr>
          <w:ilvl w:val="1"/>
          <w:numId w:val="17"/>
        </w:numPr>
        <w:spacing w:after="5" w:line="250" w:lineRule="auto"/>
        <w:ind w:hanging="360"/>
        <w:jc w:val="both"/>
      </w:pPr>
      <w:r>
        <w:rPr>
          <w:b/>
        </w:rPr>
        <w:t xml:space="preserve">jakość 30 % </w:t>
      </w:r>
    </w:p>
    <w:p w14:paraId="3EE238A9" w14:textId="77777777" w:rsidR="00F93EE2" w:rsidRPr="002C3E99" w:rsidRDefault="00F93EE2" w:rsidP="00F93EE2">
      <w:pPr>
        <w:numPr>
          <w:ilvl w:val="1"/>
          <w:numId w:val="17"/>
        </w:numPr>
        <w:spacing w:after="5" w:line="250" w:lineRule="auto"/>
        <w:ind w:hanging="360"/>
        <w:jc w:val="both"/>
      </w:pPr>
      <w:r>
        <w:rPr>
          <w:b/>
        </w:rPr>
        <w:t xml:space="preserve">termin dostawy 40% </w:t>
      </w:r>
    </w:p>
    <w:p w14:paraId="07A48E4E" w14:textId="77777777" w:rsidR="00F93EE2" w:rsidRDefault="00F93EE2" w:rsidP="00F93EE2">
      <w:pPr>
        <w:spacing w:after="5" w:line="250" w:lineRule="auto"/>
      </w:pPr>
    </w:p>
    <w:p w14:paraId="4EF407D3" w14:textId="77777777" w:rsidR="00F93EE2" w:rsidRPr="004A09F6" w:rsidRDefault="00F93EE2" w:rsidP="00F93EE2">
      <w:pPr>
        <w:spacing w:line="259" w:lineRule="auto"/>
        <w:ind w:left="360"/>
        <w:rPr>
          <w:b/>
        </w:rPr>
      </w:pPr>
      <w:r w:rsidRPr="004A09F6">
        <w:rPr>
          <w:b/>
        </w:rPr>
        <w:t>INFORMACJE DODATKOWE</w:t>
      </w:r>
    </w:p>
    <w:p w14:paraId="02DCFA0E" w14:textId="77777777" w:rsidR="00F93EE2" w:rsidRDefault="00F93EE2" w:rsidP="00F93EE2">
      <w:pPr>
        <w:spacing w:line="259" w:lineRule="auto"/>
        <w:ind w:left="360"/>
      </w:pPr>
    </w:p>
    <w:p w14:paraId="72719ABD" w14:textId="77777777" w:rsidR="00F93EE2" w:rsidRDefault="00F93EE2" w:rsidP="00F93EE2">
      <w:pPr>
        <w:pStyle w:val="Akapitzlist"/>
        <w:numPr>
          <w:ilvl w:val="0"/>
          <w:numId w:val="20"/>
        </w:numPr>
        <w:spacing w:after="0" w:line="259" w:lineRule="auto"/>
      </w:pPr>
      <w:r>
        <w:t xml:space="preserve">Zużycie odczynników w ciągu ostatnich dwóch  lat </w:t>
      </w:r>
    </w:p>
    <w:p w14:paraId="0B4A3296" w14:textId="77777777" w:rsidR="00F93EE2" w:rsidRDefault="00F93EE2" w:rsidP="00F93EE2">
      <w:pPr>
        <w:pStyle w:val="Akapitzlist"/>
        <w:spacing w:after="0" w:line="259" w:lineRule="auto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"/>
        <w:gridCol w:w="5590"/>
        <w:gridCol w:w="2977"/>
      </w:tblGrid>
      <w:tr w:rsidR="00F93EE2" w14:paraId="2234525F" w14:textId="77777777" w:rsidTr="00D378D8">
        <w:tc>
          <w:tcPr>
            <w:tcW w:w="9131" w:type="dxa"/>
            <w:gridSpan w:val="3"/>
            <w:shd w:val="clear" w:color="auto" w:fill="F97817" w:themeFill="accent2"/>
            <w:vAlign w:val="center"/>
          </w:tcPr>
          <w:p w14:paraId="38835A84" w14:textId="77777777" w:rsidR="00F93EE2" w:rsidRPr="00957C54" w:rsidRDefault="00F93EE2" w:rsidP="00D378D8">
            <w:pPr>
              <w:pStyle w:val="Akapitzlist"/>
              <w:spacing w:after="0" w:line="259" w:lineRule="auto"/>
              <w:ind w:left="0"/>
              <w:jc w:val="center"/>
              <w:rPr>
                <w:b/>
              </w:rPr>
            </w:pPr>
            <w:r w:rsidRPr="00957C54">
              <w:rPr>
                <w:b/>
              </w:rPr>
              <w:t>Rok 2017</w:t>
            </w:r>
          </w:p>
        </w:tc>
      </w:tr>
      <w:tr w:rsidR="00F93EE2" w14:paraId="03B3686C" w14:textId="77777777" w:rsidTr="00D378D8">
        <w:tc>
          <w:tcPr>
            <w:tcW w:w="423" w:type="dxa"/>
          </w:tcPr>
          <w:p w14:paraId="4C48C6E0" w14:textId="77777777" w:rsidR="00F93EE2" w:rsidRPr="00D378D8" w:rsidRDefault="00F93EE2" w:rsidP="00D378D8">
            <w:pPr>
              <w:pStyle w:val="Akapitzlist"/>
              <w:spacing w:after="0" w:line="259" w:lineRule="auto"/>
              <w:ind w:left="0"/>
              <w:rPr>
                <w:b/>
              </w:rPr>
            </w:pPr>
            <w:r w:rsidRPr="00D378D8">
              <w:rPr>
                <w:b/>
              </w:rPr>
              <w:t>LP</w:t>
            </w:r>
          </w:p>
        </w:tc>
        <w:tc>
          <w:tcPr>
            <w:tcW w:w="5683" w:type="dxa"/>
          </w:tcPr>
          <w:p w14:paraId="1F025A57" w14:textId="77777777" w:rsidR="00F93EE2" w:rsidRPr="00D378D8" w:rsidRDefault="00F93EE2" w:rsidP="00D378D8">
            <w:pPr>
              <w:pStyle w:val="Akapitzlist"/>
              <w:spacing w:after="0" w:line="259" w:lineRule="auto"/>
              <w:ind w:left="0"/>
              <w:rPr>
                <w:b/>
              </w:rPr>
            </w:pPr>
            <w:r w:rsidRPr="00D378D8">
              <w:rPr>
                <w:b/>
              </w:rPr>
              <w:t>ODCZYNNIK</w:t>
            </w:r>
          </w:p>
        </w:tc>
        <w:tc>
          <w:tcPr>
            <w:tcW w:w="3025" w:type="dxa"/>
          </w:tcPr>
          <w:p w14:paraId="385082B7" w14:textId="77777777" w:rsidR="00F93EE2" w:rsidRPr="00D378D8" w:rsidRDefault="00F93EE2" w:rsidP="00D378D8">
            <w:pPr>
              <w:pStyle w:val="Akapitzlist"/>
              <w:spacing w:after="0" w:line="259" w:lineRule="auto"/>
              <w:ind w:left="0"/>
              <w:rPr>
                <w:b/>
              </w:rPr>
            </w:pPr>
            <w:r w:rsidRPr="00D378D8">
              <w:rPr>
                <w:b/>
              </w:rPr>
              <w:t>ILOŚĆ  l</w:t>
            </w:r>
          </w:p>
        </w:tc>
      </w:tr>
      <w:tr w:rsidR="00F93EE2" w14:paraId="7F54B0EE" w14:textId="77777777" w:rsidTr="00D378D8">
        <w:tc>
          <w:tcPr>
            <w:tcW w:w="423" w:type="dxa"/>
          </w:tcPr>
          <w:p w14:paraId="14B9A4B8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1.</w:t>
            </w:r>
          </w:p>
        </w:tc>
        <w:tc>
          <w:tcPr>
            <w:tcW w:w="5683" w:type="dxa"/>
          </w:tcPr>
          <w:p w14:paraId="30F0E423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Metanol gradient</w:t>
            </w:r>
          </w:p>
        </w:tc>
        <w:tc>
          <w:tcPr>
            <w:tcW w:w="3025" w:type="dxa"/>
          </w:tcPr>
          <w:p w14:paraId="246CDC85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1450</w:t>
            </w:r>
          </w:p>
        </w:tc>
      </w:tr>
      <w:tr w:rsidR="00F93EE2" w14:paraId="533C983F" w14:textId="77777777" w:rsidTr="00D378D8">
        <w:tc>
          <w:tcPr>
            <w:tcW w:w="423" w:type="dxa"/>
          </w:tcPr>
          <w:p w14:paraId="6F1499C3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2.</w:t>
            </w:r>
          </w:p>
        </w:tc>
        <w:tc>
          <w:tcPr>
            <w:tcW w:w="5683" w:type="dxa"/>
          </w:tcPr>
          <w:p w14:paraId="045BBF0F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Metanol LC-MS</w:t>
            </w:r>
          </w:p>
        </w:tc>
        <w:tc>
          <w:tcPr>
            <w:tcW w:w="3025" w:type="dxa"/>
          </w:tcPr>
          <w:p w14:paraId="4EBD679C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65</w:t>
            </w:r>
          </w:p>
        </w:tc>
      </w:tr>
      <w:tr w:rsidR="00F93EE2" w14:paraId="201A3B56" w14:textId="77777777" w:rsidTr="00D378D8">
        <w:tc>
          <w:tcPr>
            <w:tcW w:w="423" w:type="dxa"/>
          </w:tcPr>
          <w:p w14:paraId="56A99B27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3.</w:t>
            </w:r>
          </w:p>
        </w:tc>
        <w:tc>
          <w:tcPr>
            <w:tcW w:w="5683" w:type="dxa"/>
          </w:tcPr>
          <w:p w14:paraId="43B20115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proofErr w:type="spellStart"/>
            <w:r>
              <w:t>Acetonitryl</w:t>
            </w:r>
            <w:proofErr w:type="spellEnd"/>
            <w:r>
              <w:t xml:space="preserve"> gradient</w:t>
            </w:r>
          </w:p>
        </w:tc>
        <w:tc>
          <w:tcPr>
            <w:tcW w:w="3025" w:type="dxa"/>
          </w:tcPr>
          <w:p w14:paraId="1EE05B45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1220</w:t>
            </w:r>
          </w:p>
        </w:tc>
      </w:tr>
      <w:tr w:rsidR="00F93EE2" w14:paraId="02258199" w14:textId="77777777" w:rsidTr="00D378D8">
        <w:tc>
          <w:tcPr>
            <w:tcW w:w="423" w:type="dxa"/>
          </w:tcPr>
          <w:p w14:paraId="296320D8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4.</w:t>
            </w:r>
          </w:p>
        </w:tc>
        <w:tc>
          <w:tcPr>
            <w:tcW w:w="5683" w:type="dxa"/>
          </w:tcPr>
          <w:p w14:paraId="5AEFC6B3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proofErr w:type="spellStart"/>
            <w:r>
              <w:t>Acetonitryl</w:t>
            </w:r>
            <w:proofErr w:type="spellEnd"/>
            <w:r>
              <w:t xml:space="preserve"> LC-MS</w:t>
            </w:r>
          </w:p>
        </w:tc>
        <w:tc>
          <w:tcPr>
            <w:tcW w:w="3025" w:type="dxa"/>
          </w:tcPr>
          <w:p w14:paraId="3BA69EC3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320</w:t>
            </w:r>
          </w:p>
        </w:tc>
      </w:tr>
    </w:tbl>
    <w:p w14:paraId="73E98D7D" w14:textId="77777777" w:rsidR="00F93EE2" w:rsidRDefault="00F93EE2" w:rsidP="00F93EE2">
      <w:pPr>
        <w:pStyle w:val="Akapitzlist"/>
        <w:spacing w:after="0" w:line="259" w:lineRule="auto"/>
      </w:pPr>
    </w:p>
    <w:p w14:paraId="61E5FC7B" w14:textId="77777777" w:rsidR="00F93EE2" w:rsidRPr="004A09F6" w:rsidRDefault="00F93EE2" w:rsidP="00F93EE2">
      <w:pPr>
        <w:pStyle w:val="Akapitzlist"/>
        <w:spacing w:after="0" w:line="259" w:lineRule="auto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"/>
        <w:gridCol w:w="5590"/>
        <w:gridCol w:w="2977"/>
      </w:tblGrid>
      <w:tr w:rsidR="00F93EE2" w14:paraId="49734BD5" w14:textId="77777777" w:rsidTr="00D378D8">
        <w:tc>
          <w:tcPr>
            <w:tcW w:w="9131" w:type="dxa"/>
            <w:gridSpan w:val="3"/>
            <w:shd w:val="clear" w:color="auto" w:fill="F97817" w:themeFill="accent2"/>
          </w:tcPr>
          <w:p w14:paraId="4F13E635" w14:textId="77777777" w:rsidR="00F93EE2" w:rsidRPr="00957C54" w:rsidRDefault="00F93EE2" w:rsidP="00D378D8">
            <w:pPr>
              <w:pStyle w:val="Akapitzlist"/>
              <w:spacing w:after="0" w:line="259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r w:rsidRPr="00957C54">
              <w:rPr>
                <w:b/>
              </w:rPr>
              <w:t>2018</w:t>
            </w:r>
          </w:p>
        </w:tc>
      </w:tr>
      <w:tr w:rsidR="00F93EE2" w14:paraId="5A23CAFA" w14:textId="77777777" w:rsidTr="00D378D8">
        <w:tc>
          <w:tcPr>
            <w:tcW w:w="423" w:type="dxa"/>
          </w:tcPr>
          <w:p w14:paraId="6730F647" w14:textId="77777777" w:rsidR="00F93EE2" w:rsidRPr="00D378D8" w:rsidRDefault="00F93EE2" w:rsidP="00D378D8">
            <w:pPr>
              <w:pStyle w:val="Akapitzlist"/>
              <w:spacing w:after="0" w:line="259" w:lineRule="auto"/>
              <w:ind w:left="0"/>
              <w:rPr>
                <w:b/>
              </w:rPr>
            </w:pPr>
            <w:r w:rsidRPr="00D378D8">
              <w:rPr>
                <w:b/>
              </w:rPr>
              <w:t>LP</w:t>
            </w:r>
          </w:p>
        </w:tc>
        <w:tc>
          <w:tcPr>
            <w:tcW w:w="5683" w:type="dxa"/>
          </w:tcPr>
          <w:p w14:paraId="5C650212" w14:textId="77777777" w:rsidR="00F93EE2" w:rsidRPr="00D378D8" w:rsidRDefault="00F93EE2" w:rsidP="00D378D8">
            <w:pPr>
              <w:pStyle w:val="Akapitzlist"/>
              <w:spacing w:after="0" w:line="259" w:lineRule="auto"/>
              <w:ind w:left="0"/>
              <w:rPr>
                <w:b/>
              </w:rPr>
            </w:pPr>
            <w:r w:rsidRPr="00D378D8">
              <w:rPr>
                <w:b/>
              </w:rPr>
              <w:t>ODCZYNNIK</w:t>
            </w:r>
          </w:p>
        </w:tc>
        <w:tc>
          <w:tcPr>
            <w:tcW w:w="3025" w:type="dxa"/>
          </w:tcPr>
          <w:p w14:paraId="2A0D452E" w14:textId="77777777" w:rsidR="00F93EE2" w:rsidRPr="00D378D8" w:rsidRDefault="00F93EE2" w:rsidP="00D378D8">
            <w:pPr>
              <w:pStyle w:val="Akapitzlist"/>
              <w:spacing w:after="0" w:line="259" w:lineRule="auto"/>
              <w:ind w:left="0"/>
              <w:rPr>
                <w:b/>
              </w:rPr>
            </w:pPr>
            <w:r w:rsidRPr="00D378D8">
              <w:rPr>
                <w:b/>
              </w:rPr>
              <w:t>ILOŚĆ  l</w:t>
            </w:r>
          </w:p>
        </w:tc>
      </w:tr>
      <w:tr w:rsidR="00F93EE2" w14:paraId="7BDF2A4D" w14:textId="77777777" w:rsidTr="00D378D8">
        <w:tc>
          <w:tcPr>
            <w:tcW w:w="423" w:type="dxa"/>
          </w:tcPr>
          <w:p w14:paraId="2A2ECDC9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1.</w:t>
            </w:r>
          </w:p>
        </w:tc>
        <w:tc>
          <w:tcPr>
            <w:tcW w:w="5683" w:type="dxa"/>
          </w:tcPr>
          <w:p w14:paraId="60996040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Metanol gradient</w:t>
            </w:r>
          </w:p>
        </w:tc>
        <w:tc>
          <w:tcPr>
            <w:tcW w:w="3025" w:type="dxa"/>
          </w:tcPr>
          <w:p w14:paraId="770E54FB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2325</w:t>
            </w:r>
          </w:p>
        </w:tc>
      </w:tr>
      <w:tr w:rsidR="00F93EE2" w14:paraId="37708CE1" w14:textId="77777777" w:rsidTr="00D378D8">
        <w:tc>
          <w:tcPr>
            <w:tcW w:w="423" w:type="dxa"/>
          </w:tcPr>
          <w:p w14:paraId="3B66B566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2.</w:t>
            </w:r>
          </w:p>
        </w:tc>
        <w:tc>
          <w:tcPr>
            <w:tcW w:w="5683" w:type="dxa"/>
          </w:tcPr>
          <w:p w14:paraId="6E49D368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Metanol LC-MS</w:t>
            </w:r>
          </w:p>
        </w:tc>
        <w:tc>
          <w:tcPr>
            <w:tcW w:w="3025" w:type="dxa"/>
          </w:tcPr>
          <w:p w14:paraId="21403651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130</w:t>
            </w:r>
          </w:p>
        </w:tc>
      </w:tr>
      <w:tr w:rsidR="00F93EE2" w14:paraId="239CC650" w14:textId="77777777" w:rsidTr="00D378D8">
        <w:tc>
          <w:tcPr>
            <w:tcW w:w="423" w:type="dxa"/>
          </w:tcPr>
          <w:p w14:paraId="73D96A34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3.</w:t>
            </w:r>
          </w:p>
        </w:tc>
        <w:tc>
          <w:tcPr>
            <w:tcW w:w="5683" w:type="dxa"/>
          </w:tcPr>
          <w:p w14:paraId="76CC3E41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proofErr w:type="spellStart"/>
            <w:r>
              <w:t>Acetonitryl</w:t>
            </w:r>
            <w:proofErr w:type="spellEnd"/>
            <w:r>
              <w:t xml:space="preserve"> gradient</w:t>
            </w:r>
          </w:p>
        </w:tc>
        <w:tc>
          <w:tcPr>
            <w:tcW w:w="3025" w:type="dxa"/>
          </w:tcPr>
          <w:p w14:paraId="147D3D13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2030</w:t>
            </w:r>
          </w:p>
        </w:tc>
      </w:tr>
      <w:tr w:rsidR="00F93EE2" w14:paraId="0EDC8B49" w14:textId="77777777" w:rsidTr="00D378D8">
        <w:tc>
          <w:tcPr>
            <w:tcW w:w="423" w:type="dxa"/>
          </w:tcPr>
          <w:p w14:paraId="5070BEAF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4.</w:t>
            </w:r>
          </w:p>
        </w:tc>
        <w:tc>
          <w:tcPr>
            <w:tcW w:w="5683" w:type="dxa"/>
          </w:tcPr>
          <w:p w14:paraId="10500E54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proofErr w:type="spellStart"/>
            <w:r>
              <w:t>Acetonitryl</w:t>
            </w:r>
            <w:proofErr w:type="spellEnd"/>
            <w:r>
              <w:t xml:space="preserve"> LC-MS</w:t>
            </w:r>
          </w:p>
        </w:tc>
        <w:tc>
          <w:tcPr>
            <w:tcW w:w="3025" w:type="dxa"/>
          </w:tcPr>
          <w:p w14:paraId="6A425C51" w14:textId="77777777" w:rsidR="00F93EE2" w:rsidRDefault="00F93EE2" w:rsidP="00D378D8">
            <w:pPr>
              <w:pStyle w:val="Akapitzlist"/>
              <w:spacing w:after="0" w:line="259" w:lineRule="auto"/>
              <w:ind w:left="0"/>
            </w:pPr>
            <w:r>
              <w:t>260</w:t>
            </w:r>
          </w:p>
        </w:tc>
      </w:tr>
    </w:tbl>
    <w:p w14:paraId="3DD82CA9" w14:textId="77777777" w:rsidR="00F93EE2" w:rsidRDefault="00F93EE2" w:rsidP="00F93EE2">
      <w:pPr>
        <w:spacing w:line="259" w:lineRule="auto"/>
        <w:ind w:left="360"/>
      </w:pPr>
    </w:p>
    <w:p w14:paraId="293631A1" w14:textId="77777777" w:rsidR="00F93EE2" w:rsidRDefault="00F93EE2" w:rsidP="00F93EE2">
      <w:pPr>
        <w:spacing w:line="259" w:lineRule="auto"/>
        <w:ind w:left="360"/>
      </w:pPr>
    </w:p>
    <w:p w14:paraId="1F1AA5FD" w14:textId="77777777" w:rsidR="00F93EE2" w:rsidRDefault="00F93EE2" w:rsidP="00F93EE2">
      <w:pPr>
        <w:spacing w:line="259" w:lineRule="auto"/>
        <w:ind w:left="360"/>
      </w:pPr>
    </w:p>
    <w:p w14:paraId="5C5E8CBC" w14:textId="77777777" w:rsidR="00F93EE2" w:rsidRDefault="00F93EE2" w:rsidP="00F93EE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324A007C" w14:textId="77777777" w:rsidR="00F93EE2" w:rsidRDefault="00F93EE2" w:rsidP="00F93EE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5C015602" w14:textId="77777777" w:rsidR="00F93EE2" w:rsidRDefault="00F93EE2" w:rsidP="00F93EE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3A4D7713" w14:textId="77777777" w:rsidR="00F93EE2" w:rsidRDefault="00F93EE2" w:rsidP="00F93EE2">
      <w:pPr>
        <w:spacing w:line="259" w:lineRule="auto"/>
      </w:pPr>
      <w:r>
        <w:rPr>
          <w:rFonts w:ascii="Verdana" w:eastAsia="Verdana" w:hAnsi="Verdana" w:cs="Verdana"/>
          <w:b/>
        </w:rPr>
        <w:t xml:space="preserve">  </w:t>
      </w:r>
    </w:p>
    <w:p w14:paraId="48DDE067" w14:textId="77777777" w:rsidR="00F93EE2" w:rsidRDefault="00F93EE2" w:rsidP="00F93EE2">
      <w:pPr>
        <w:spacing w:after="152" w:line="259" w:lineRule="auto"/>
        <w:ind w:left="-5" w:hanging="10"/>
      </w:pPr>
      <w:r>
        <w:rPr>
          <w:b/>
          <w:sz w:val="28"/>
        </w:rPr>
        <w:t xml:space="preserve">Adres i termin składania ofert: </w:t>
      </w:r>
    </w:p>
    <w:p w14:paraId="02F6BAB8" w14:textId="77777777" w:rsidR="00F93EE2" w:rsidRDefault="00F93EE2" w:rsidP="00F93EE2">
      <w:pPr>
        <w:numPr>
          <w:ilvl w:val="0"/>
          <w:numId w:val="18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4E65DC84" w14:textId="77777777" w:rsidR="00F93EE2" w:rsidRDefault="00F93EE2" w:rsidP="00F93EE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34C98C39" w14:textId="77777777" w:rsidR="00F93EE2" w:rsidRDefault="00F93EE2" w:rsidP="00F93EE2">
      <w:pPr>
        <w:numPr>
          <w:ilvl w:val="0"/>
          <w:numId w:val="18"/>
        </w:numPr>
        <w:spacing w:after="147" w:line="250" w:lineRule="auto"/>
        <w:ind w:left="695" w:hanging="350"/>
      </w:pPr>
      <w:r>
        <w:lastRenderedPageBreak/>
        <w:t xml:space="preserve">Oferta musi być złożona nie później niż do </w:t>
      </w:r>
      <w:r>
        <w:rPr>
          <w:b/>
        </w:rPr>
        <w:t>11.01.2019 r</w:t>
      </w:r>
      <w:r>
        <w:t xml:space="preserve">. Jeśli wysłana pocztą tradycyjną lub kurierem, ofertę uważa się za złożoną w dniu jej dostarczenia do siedziby Zamawiającego. </w:t>
      </w:r>
    </w:p>
    <w:p w14:paraId="33153023" w14:textId="77777777" w:rsidR="00F93EE2" w:rsidRDefault="00F93EE2" w:rsidP="00F93EE2">
      <w:pPr>
        <w:numPr>
          <w:ilvl w:val="0"/>
          <w:numId w:val="18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4EE488DA" w14:textId="77777777" w:rsidR="00F93EE2" w:rsidRDefault="00F93EE2" w:rsidP="00F93EE2">
      <w:pPr>
        <w:spacing w:after="132" w:line="259" w:lineRule="auto"/>
        <w:ind w:left="713"/>
      </w:pPr>
      <w:r>
        <w:t xml:space="preserve"> </w:t>
      </w:r>
    </w:p>
    <w:p w14:paraId="64C1483B" w14:textId="77777777" w:rsidR="00F93EE2" w:rsidRDefault="00F93EE2" w:rsidP="00F93EE2">
      <w:pPr>
        <w:spacing w:after="127" w:line="259" w:lineRule="auto"/>
        <w:ind w:left="-5" w:hanging="10"/>
        <w:rPr>
          <w:b/>
          <w:sz w:val="28"/>
        </w:rPr>
      </w:pPr>
    </w:p>
    <w:p w14:paraId="65FCFD16" w14:textId="77777777" w:rsidR="00F93EE2" w:rsidRDefault="00F93EE2" w:rsidP="00F93EE2">
      <w:pPr>
        <w:spacing w:after="127" w:line="259" w:lineRule="auto"/>
        <w:ind w:left="-5" w:hanging="10"/>
        <w:rPr>
          <w:b/>
          <w:sz w:val="28"/>
        </w:rPr>
      </w:pPr>
    </w:p>
    <w:p w14:paraId="306300BE" w14:textId="77777777" w:rsidR="00F93EE2" w:rsidRDefault="00F93EE2" w:rsidP="00F93EE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612041ED" w14:textId="77777777" w:rsidR="00F93EE2" w:rsidRDefault="00F93EE2" w:rsidP="00F93EE2">
      <w:pPr>
        <w:numPr>
          <w:ilvl w:val="0"/>
          <w:numId w:val="19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D8E1730" w14:textId="77777777" w:rsidR="00F93EE2" w:rsidRDefault="00F93EE2" w:rsidP="00F93EE2">
      <w:pPr>
        <w:numPr>
          <w:ilvl w:val="1"/>
          <w:numId w:val="19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3F1C4A1B" w14:textId="77777777" w:rsidR="00F93EE2" w:rsidRDefault="00F93EE2" w:rsidP="00F93EE2">
      <w:pPr>
        <w:numPr>
          <w:ilvl w:val="1"/>
          <w:numId w:val="19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3B53B418" w14:textId="77777777" w:rsidR="00F93EE2" w:rsidRDefault="00F93EE2" w:rsidP="00F93EE2">
      <w:pPr>
        <w:numPr>
          <w:ilvl w:val="1"/>
          <w:numId w:val="19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1530BEBC" w14:textId="77777777" w:rsidR="00F93EE2" w:rsidRDefault="00F93EE2" w:rsidP="00F93EE2">
      <w:pPr>
        <w:numPr>
          <w:ilvl w:val="1"/>
          <w:numId w:val="19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0A11E6C0" w14:textId="77777777" w:rsidR="00F93EE2" w:rsidRDefault="00F93EE2" w:rsidP="00F93EE2">
      <w:pPr>
        <w:numPr>
          <w:ilvl w:val="0"/>
          <w:numId w:val="19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BCE0CEB" w14:textId="77777777" w:rsidR="00F93EE2" w:rsidRDefault="00F93EE2" w:rsidP="00F93EE2">
      <w:pPr>
        <w:numPr>
          <w:ilvl w:val="0"/>
          <w:numId w:val="19"/>
        </w:numPr>
        <w:spacing w:after="143" w:line="248" w:lineRule="auto"/>
        <w:ind w:left="694" w:hanging="346"/>
        <w:jc w:val="both"/>
      </w:pPr>
      <w:r>
        <w:t>Oferent może przedstawić ofertę na jedną z pozycji podanych w zapytaniu</w:t>
      </w:r>
    </w:p>
    <w:p w14:paraId="5AD283E9" w14:textId="77777777" w:rsidR="00F93EE2" w:rsidRDefault="00F93EE2" w:rsidP="00F93EE2">
      <w:pPr>
        <w:numPr>
          <w:ilvl w:val="0"/>
          <w:numId w:val="19"/>
        </w:numPr>
        <w:spacing w:after="143" w:line="248" w:lineRule="auto"/>
        <w:ind w:left="694" w:hanging="346"/>
        <w:jc w:val="both"/>
      </w:pPr>
      <w:r>
        <w:t xml:space="preserve">Oferta musi pozostać ważna przez okres do dnia </w:t>
      </w:r>
      <w:r>
        <w:rPr>
          <w:b/>
        </w:rPr>
        <w:t>31.12.2020</w:t>
      </w:r>
      <w:r>
        <w:t xml:space="preserve">  </w:t>
      </w:r>
    </w:p>
    <w:p w14:paraId="591B7B40" w14:textId="77777777" w:rsidR="00F93EE2" w:rsidRDefault="00F93EE2" w:rsidP="00F93EE2">
      <w:pPr>
        <w:numPr>
          <w:ilvl w:val="0"/>
          <w:numId w:val="19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0E543EE3" w14:textId="77777777" w:rsidR="00F93EE2" w:rsidRDefault="00F93EE2" w:rsidP="00F93EE2">
      <w:pPr>
        <w:numPr>
          <w:ilvl w:val="0"/>
          <w:numId w:val="19"/>
        </w:numPr>
        <w:spacing w:after="143" w:line="248" w:lineRule="auto"/>
        <w:ind w:left="694" w:hanging="346"/>
        <w:jc w:val="both"/>
      </w:pPr>
      <w:r>
        <w:t>Oferta powinna być parafowana i podpisana przez osoby upoważnione do reprezentowania Wykonawcy/Dostawcy.</w:t>
      </w:r>
    </w:p>
    <w:p w14:paraId="50FD4EE0" w14:textId="77777777" w:rsidR="00F93EE2" w:rsidRDefault="00F93EE2" w:rsidP="00F93EE2">
      <w:pPr>
        <w:spacing w:line="241" w:lineRule="auto"/>
        <w:ind w:left="720"/>
      </w:pPr>
      <w:r>
        <w:rPr>
          <w:b/>
          <w:u w:val="single" w:color="000000"/>
        </w:rPr>
        <w:t>PROSIMY O SKŁADANIE OFERT ZAKŁADAJĄCYCH PŁATNOŚĆ NA PODSTAWIE FAKTURY Z</w:t>
      </w:r>
      <w:r>
        <w:rPr>
          <w:b/>
        </w:rPr>
        <w:t xml:space="preserve"> </w:t>
      </w:r>
      <w:r>
        <w:rPr>
          <w:b/>
          <w:u w:val="single" w:color="000000"/>
        </w:rPr>
        <w:t>CO NAJMNIEJ 30-DNIOWYM TERMINEM PŁATNOŚCI.</w:t>
      </w:r>
      <w:r>
        <w:rPr>
          <w:b/>
          <w:sz w:val="18"/>
        </w:rPr>
        <w:t xml:space="preserve">  </w:t>
      </w:r>
      <w:r>
        <w:t xml:space="preserve"> </w:t>
      </w:r>
    </w:p>
    <w:p w14:paraId="5DC2EB2C" w14:textId="1FD1FCF6" w:rsidR="00D6746F" w:rsidRPr="000A2D96" w:rsidRDefault="00D6746F" w:rsidP="000A2D96">
      <w:pPr>
        <w:spacing w:after="143" w:line="248" w:lineRule="auto"/>
        <w:ind w:left="348"/>
        <w:jc w:val="both"/>
      </w:pP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2B715" w14:textId="77777777" w:rsidR="00A77052" w:rsidRDefault="00A77052">
      <w:r>
        <w:separator/>
      </w:r>
    </w:p>
  </w:endnote>
  <w:endnote w:type="continuationSeparator" w:id="0">
    <w:p w14:paraId="268E30DB" w14:textId="77777777" w:rsidR="00A77052" w:rsidRDefault="00A7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7CE07" w14:textId="77777777" w:rsidR="00A77052" w:rsidRDefault="00A77052">
      <w:r>
        <w:separator/>
      </w:r>
    </w:p>
  </w:footnote>
  <w:footnote w:type="continuationSeparator" w:id="0">
    <w:p w14:paraId="69904ED3" w14:textId="77777777" w:rsidR="00A77052" w:rsidRDefault="00A7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1C76445"/>
    <w:multiLevelType w:val="hybridMultilevel"/>
    <w:tmpl w:val="613CD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1B3DC6"/>
    <w:multiLevelType w:val="hybridMultilevel"/>
    <w:tmpl w:val="28BE57B4"/>
    <w:lvl w:ilvl="0" w:tplc="E7D6A9E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097FC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8B5DA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2911E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2CC1E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40BF0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6BD16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ED2D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B22958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DB3D32"/>
    <w:multiLevelType w:val="hybridMultilevel"/>
    <w:tmpl w:val="F3083FE6"/>
    <w:lvl w:ilvl="0" w:tplc="B3F66BFA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4B69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040A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6C1F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A56C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41AF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EA16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E8F3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C986C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04A28"/>
    <w:multiLevelType w:val="hybridMultilevel"/>
    <w:tmpl w:val="647AFF40"/>
    <w:lvl w:ilvl="0" w:tplc="CE8C5BF0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7C5D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26B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5EAF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639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C38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AF2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06F6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5C32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218B1"/>
    <w:multiLevelType w:val="hybridMultilevel"/>
    <w:tmpl w:val="FF76F6B8"/>
    <w:lvl w:ilvl="0" w:tplc="AAB2F676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F6DCEE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945B54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86A4E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BE50CA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E6862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027BA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25792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9C3A8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0"/>
  </w:num>
  <w:num w:numId="7">
    <w:abstractNumId w:val="18"/>
  </w:num>
  <w:num w:numId="8">
    <w:abstractNumId w:val="14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6"/>
  </w:num>
  <w:num w:numId="14">
    <w:abstractNumId w:val="11"/>
  </w:num>
  <w:num w:numId="15">
    <w:abstractNumId w:val="15"/>
  </w:num>
  <w:num w:numId="16">
    <w:abstractNumId w:val="17"/>
  </w:num>
  <w:num w:numId="17">
    <w:abstractNumId w:val="5"/>
  </w:num>
  <w:num w:numId="18">
    <w:abstractNumId w:val="8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05FBC"/>
    <w:rsid w:val="00020879"/>
    <w:rsid w:val="0002522E"/>
    <w:rsid w:val="0005590F"/>
    <w:rsid w:val="00056A3A"/>
    <w:rsid w:val="000627F8"/>
    <w:rsid w:val="0006414B"/>
    <w:rsid w:val="00067CAA"/>
    <w:rsid w:val="000706AB"/>
    <w:rsid w:val="0008008A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203EDF"/>
    <w:rsid w:val="002048B2"/>
    <w:rsid w:val="0020729F"/>
    <w:rsid w:val="002117AB"/>
    <w:rsid w:val="00217699"/>
    <w:rsid w:val="002267E1"/>
    <w:rsid w:val="002274FA"/>
    <w:rsid w:val="0024031D"/>
    <w:rsid w:val="00247A85"/>
    <w:rsid w:val="00247FE9"/>
    <w:rsid w:val="00252286"/>
    <w:rsid w:val="0025668F"/>
    <w:rsid w:val="00261CF1"/>
    <w:rsid w:val="002645F6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E252F"/>
    <w:rsid w:val="00311248"/>
    <w:rsid w:val="00313A24"/>
    <w:rsid w:val="00327F52"/>
    <w:rsid w:val="0033694B"/>
    <w:rsid w:val="00342D5D"/>
    <w:rsid w:val="00345E56"/>
    <w:rsid w:val="00353963"/>
    <w:rsid w:val="0036220A"/>
    <w:rsid w:val="00391371"/>
    <w:rsid w:val="003C5479"/>
    <w:rsid w:val="003C548D"/>
    <w:rsid w:val="003E1511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7DC"/>
    <w:rsid w:val="00562D5D"/>
    <w:rsid w:val="0057242C"/>
    <w:rsid w:val="00581365"/>
    <w:rsid w:val="00585E79"/>
    <w:rsid w:val="005A698C"/>
    <w:rsid w:val="005A6ADD"/>
    <w:rsid w:val="005B3660"/>
    <w:rsid w:val="005B4698"/>
    <w:rsid w:val="005B58A9"/>
    <w:rsid w:val="005E0B53"/>
    <w:rsid w:val="005F115E"/>
    <w:rsid w:val="005F378D"/>
    <w:rsid w:val="005F4796"/>
    <w:rsid w:val="006014B9"/>
    <w:rsid w:val="006021CE"/>
    <w:rsid w:val="00613B45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75B25"/>
    <w:rsid w:val="006805F6"/>
    <w:rsid w:val="00686EEE"/>
    <w:rsid w:val="0068785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06106"/>
    <w:rsid w:val="00714D98"/>
    <w:rsid w:val="0072460A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914BD"/>
    <w:rsid w:val="007A3C73"/>
    <w:rsid w:val="007A40E1"/>
    <w:rsid w:val="007C0A8D"/>
    <w:rsid w:val="007D2952"/>
    <w:rsid w:val="007D36AC"/>
    <w:rsid w:val="0080262D"/>
    <w:rsid w:val="00817745"/>
    <w:rsid w:val="00820B72"/>
    <w:rsid w:val="00835D14"/>
    <w:rsid w:val="00844849"/>
    <w:rsid w:val="008462A9"/>
    <w:rsid w:val="00851DB4"/>
    <w:rsid w:val="00855B7D"/>
    <w:rsid w:val="008610CC"/>
    <w:rsid w:val="008623B8"/>
    <w:rsid w:val="00872BF8"/>
    <w:rsid w:val="00880CFD"/>
    <w:rsid w:val="008837D1"/>
    <w:rsid w:val="00886AE4"/>
    <w:rsid w:val="00893590"/>
    <w:rsid w:val="008A68B5"/>
    <w:rsid w:val="008C15D5"/>
    <w:rsid w:val="008C59D1"/>
    <w:rsid w:val="008C636B"/>
    <w:rsid w:val="008D2AD8"/>
    <w:rsid w:val="008D3D3D"/>
    <w:rsid w:val="008D5F3F"/>
    <w:rsid w:val="008E0FB5"/>
    <w:rsid w:val="008E3DC1"/>
    <w:rsid w:val="008E6BFA"/>
    <w:rsid w:val="008F18C3"/>
    <w:rsid w:val="0090329B"/>
    <w:rsid w:val="00904C38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48AB"/>
    <w:rsid w:val="00965543"/>
    <w:rsid w:val="009706BD"/>
    <w:rsid w:val="00970D71"/>
    <w:rsid w:val="00973536"/>
    <w:rsid w:val="00977896"/>
    <w:rsid w:val="00984C26"/>
    <w:rsid w:val="009D0F03"/>
    <w:rsid w:val="009E6ED4"/>
    <w:rsid w:val="009F6562"/>
    <w:rsid w:val="00A544D0"/>
    <w:rsid w:val="00A54650"/>
    <w:rsid w:val="00A55DA9"/>
    <w:rsid w:val="00A64CD2"/>
    <w:rsid w:val="00A77052"/>
    <w:rsid w:val="00A9330D"/>
    <w:rsid w:val="00AA5341"/>
    <w:rsid w:val="00AD0A47"/>
    <w:rsid w:val="00AD3A0A"/>
    <w:rsid w:val="00AD5951"/>
    <w:rsid w:val="00AE6DC9"/>
    <w:rsid w:val="00AF3568"/>
    <w:rsid w:val="00B013CC"/>
    <w:rsid w:val="00B03C2C"/>
    <w:rsid w:val="00B12750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3FA8"/>
    <w:rsid w:val="00C16431"/>
    <w:rsid w:val="00C219E7"/>
    <w:rsid w:val="00C2437A"/>
    <w:rsid w:val="00C24AC8"/>
    <w:rsid w:val="00C341F6"/>
    <w:rsid w:val="00C404CB"/>
    <w:rsid w:val="00C4441C"/>
    <w:rsid w:val="00C50CA9"/>
    <w:rsid w:val="00C522D3"/>
    <w:rsid w:val="00C55F68"/>
    <w:rsid w:val="00C646E3"/>
    <w:rsid w:val="00C64A8C"/>
    <w:rsid w:val="00C66B98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20157"/>
    <w:rsid w:val="00D27622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D375C"/>
    <w:rsid w:val="00DD4CE0"/>
    <w:rsid w:val="00DD5B1E"/>
    <w:rsid w:val="00DE6449"/>
    <w:rsid w:val="00E0268D"/>
    <w:rsid w:val="00E02E87"/>
    <w:rsid w:val="00E034FF"/>
    <w:rsid w:val="00E048BD"/>
    <w:rsid w:val="00E139C3"/>
    <w:rsid w:val="00E13F97"/>
    <w:rsid w:val="00E14942"/>
    <w:rsid w:val="00E21707"/>
    <w:rsid w:val="00E247C3"/>
    <w:rsid w:val="00E263A8"/>
    <w:rsid w:val="00E278CD"/>
    <w:rsid w:val="00E34ECE"/>
    <w:rsid w:val="00E430EA"/>
    <w:rsid w:val="00E44736"/>
    <w:rsid w:val="00E44C4F"/>
    <w:rsid w:val="00E54D20"/>
    <w:rsid w:val="00E614EE"/>
    <w:rsid w:val="00E66B1A"/>
    <w:rsid w:val="00E75929"/>
    <w:rsid w:val="00E80D64"/>
    <w:rsid w:val="00E902F4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A25"/>
    <w:rsid w:val="00F17CFA"/>
    <w:rsid w:val="00F23BE8"/>
    <w:rsid w:val="00F27929"/>
    <w:rsid w:val="00F44EDC"/>
    <w:rsid w:val="00F64C98"/>
    <w:rsid w:val="00F67557"/>
    <w:rsid w:val="00F82E96"/>
    <w:rsid w:val="00F93EE2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TableGrid">
    <w:name w:val="TableGrid"/>
    <w:rsid w:val="00F93EE2"/>
    <w:rPr>
      <w:rFonts w:asciiTheme="minorHAnsi" w:eastAsiaTheme="minorEastAsia" w:hAnsiTheme="minorHAnsi" w:cstheme="minorBidi"/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C94373-1F14-4215-8B64-DBCBD17A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2019-02-25T10:39:00Z</cp:lastPrinted>
  <dcterms:created xsi:type="dcterms:W3CDTF">2019-12-09T11:53:00Z</dcterms:created>
  <dcterms:modified xsi:type="dcterms:W3CDTF">2019-12-09T11:53:00Z</dcterms:modified>
</cp:coreProperties>
</file>