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CD84D" w14:textId="77777777" w:rsidR="00C75C98" w:rsidRPr="002C1AE4" w:rsidRDefault="00C75C98" w:rsidP="004109BE">
      <w:pPr>
        <w:spacing w:after="0"/>
        <w:rPr>
          <w:sz w:val="24"/>
          <w:szCs w:val="28"/>
        </w:rPr>
        <w:sectPr w:rsidR="00C75C98" w:rsidRPr="002C1AE4" w:rsidSect="0038673E">
          <w:headerReference w:type="default" r:id="rId11"/>
          <w:footerReference w:type="default" r:id="rId12"/>
          <w:pgSz w:w="11906" w:h="16838"/>
          <w:pgMar w:top="720" w:right="720" w:bottom="720" w:left="720" w:header="709" w:footer="709" w:gutter="0"/>
          <w:cols w:num="2" w:space="708"/>
          <w:docGrid w:linePitch="360"/>
        </w:sectPr>
      </w:pPr>
    </w:p>
    <w:tbl>
      <w:tblPr>
        <w:tblW w:w="11933" w:type="dxa"/>
        <w:tblInd w:w="-131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00" w:firstRow="0" w:lastRow="0" w:firstColumn="0" w:lastColumn="0" w:noHBand="0" w:noVBand="0"/>
      </w:tblPr>
      <w:tblGrid>
        <w:gridCol w:w="11933"/>
      </w:tblGrid>
      <w:tr w:rsidR="00CB5456" w:rsidRPr="00843AF5" w14:paraId="1F323E79" w14:textId="77777777" w:rsidTr="00843AF5">
        <w:trPr>
          <w:trHeight w:val="1187"/>
        </w:trPr>
        <w:tc>
          <w:tcPr>
            <w:tcW w:w="11933" w:type="dxa"/>
            <w:tcBorders>
              <w:top w:val="nil"/>
              <w:left w:val="nil"/>
              <w:bottom w:val="nil"/>
              <w:right w:val="nil"/>
            </w:tcBorders>
            <w:shd w:val="clear" w:color="auto" w:fill="E36C0A"/>
          </w:tcPr>
          <w:p w14:paraId="5752D13F" w14:textId="77777777" w:rsidR="00836137" w:rsidRPr="00836137" w:rsidRDefault="00496DCD" w:rsidP="00836137">
            <w:pPr>
              <w:spacing w:before="480" w:after="240"/>
              <w:jc w:val="center"/>
              <w:rPr>
                <w:b/>
                <w:bCs/>
                <w:sz w:val="36"/>
                <w:szCs w:val="28"/>
              </w:rPr>
            </w:pPr>
            <w:r w:rsidRPr="000402F0">
              <w:rPr>
                <w:b/>
                <w:bCs/>
                <w:sz w:val="36"/>
                <w:szCs w:val="28"/>
              </w:rPr>
              <w:t>Celon Pharma</w:t>
            </w:r>
            <w:r w:rsidR="009A1493">
              <w:rPr>
                <w:b/>
                <w:bCs/>
                <w:sz w:val="36"/>
                <w:szCs w:val="28"/>
              </w:rPr>
              <w:t xml:space="preserve"> S.</w:t>
            </w:r>
            <w:r w:rsidR="000851DE">
              <w:rPr>
                <w:b/>
                <w:bCs/>
                <w:sz w:val="36"/>
                <w:szCs w:val="28"/>
              </w:rPr>
              <w:t>A.</w:t>
            </w:r>
            <w:r w:rsidRPr="000402F0">
              <w:rPr>
                <w:b/>
                <w:bCs/>
                <w:sz w:val="36"/>
                <w:szCs w:val="28"/>
              </w:rPr>
              <w:t xml:space="preserve"> rozpoczyna </w:t>
            </w:r>
            <w:r w:rsidR="002E51E2">
              <w:rPr>
                <w:b/>
                <w:bCs/>
                <w:sz w:val="36"/>
                <w:szCs w:val="28"/>
              </w:rPr>
              <w:t>ofertę publiczną akcji serii D</w:t>
            </w:r>
            <w:r w:rsidR="00673C27">
              <w:rPr>
                <w:b/>
                <w:bCs/>
                <w:sz w:val="36"/>
                <w:szCs w:val="28"/>
              </w:rPr>
              <w:t xml:space="preserve"> </w:t>
            </w:r>
          </w:p>
        </w:tc>
      </w:tr>
    </w:tbl>
    <w:p w14:paraId="394EBD11" w14:textId="77777777" w:rsidR="00B050A7" w:rsidRDefault="00B050A7" w:rsidP="00B050A7">
      <w:pPr>
        <w:spacing w:after="0" w:line="252" w:lineRule="auto"/>
        <w:jc w:val="both"/>
        <w:rPr>
          <w:rFonts w:ascii="Arial" w:eastAsia="Arial" w:hAnsi="Arial" w:cs="Arial"/>
          <w:i/>
          <w:iCs/>
          <w:color w:val="000000"/>
          <w:sz w:val="18"/>
          <w:szCs w:val="18"/>
        </w:rPr>
      </w:pPr>
    </w:p>
    <w:p w14:paraId="339880A6" w14:textId="616D4DCE" w:rsidR="00B050A7" w:rsidRPr="000B5A84" w:rsidRDefault="00B050A7" w:rsidP="00B050A7">
      <w:pPr>
        <w:spacing w:after="0" w:line="252" w:lineRule="auto"/>
        <w:jc w:val="both"/>
        <w:rPr>
          <w:rFonts w:ascii="Arial" w:eastAsia="Arial" w:hAnsi="Arial" w:cs="Arial"/>
          <w:i/>
          <w:iCs/>
          <w:color w:val="000000"/>
          <w:sz w:val="16"/>
          <w:szCs w:val="16"/>
        </w:rPr>
      </w:pPr>
      <w:r w:rsidRPr="000B5A84">
        <w:rPr>
          <w:rFonts w:ascii="Arial" w:eastAsia="Arial" w:hAnsi="Arial" w:cs="Arial"/>
          <w:i/>
          <w:iCs/>
          <w:color w:val="000000"/>
          <w:sz w:val="16"/>
          <w:szCs w:val="16"/>
        </w:rPr>
        <w:t>NIE PODLEGA ROZPOWSZECHNIANIU, PUBLIKACJI ANI DYSTRYBUCJI, BEZPOŚREDNIO CZY POŚREDNIO, W CAŁOŚCI LUB W CZĘŚCI, NA TERYTORIUM ALBO DO STANÓW ZJEDNOCZONYCH AMERYKI LUB OBYWATELI STANÓW ZJEDNOCZONYCH, AUSTRALII, KANADY, JAPONII, RPA LUB JAKIEGOKOLWIEK INNEGO PAŃSTWA LUB JURYSDYKCJI, W KTÓRYCH ROZPOWSZECHNIENIE, PUBLIKACJA LUB DYSTRYBUCJA STANOWIŁABY NARUSZENIE PRAWA.</w:t>
      </w:r>
    </w:p>
    <w:p w14:paraId="34F4EF99" w14:textId="4CF6B078" w:rsidR="00B050A7" w:rsidRDefault="00B050A7" w:rsidP="000B5A84">
      <w:pPr>
        <w:spacing w:after="0" w:line="252" w:lineRule="auto"/>
        <w:jc w:val="both"/>
        <w:rPr>
          <w:rFonts w:ascii="Arial" w:eastAsia="Arial" w:hAnsi="Arial" w:cs="Arial"/>
          <w:i/>
          <w:iCs/>
          <w:color w:val="000000"/>
          <w:sz w:val="16"/>
          <w:szCs w:val="16"/>
        </w:rPr>
      </w:pPr>
      <w:r w:rsidRPr="000B5A84">
        <w:rPr>
          <w:rFonts w:ascii="Arial" w:eastAsia="Arial" w:hAnsi="Arial" w:cs="Arial"/>
          <w:i/>
          <w:iCs/>
          <w:color w:val="000000"/>
          <w:sz w:val="16"/>
          <w:szCs w:val="16"/>
        </w:rPr>
        <w:t xml:space="preserve">Niniejsze ogłoszenie jest reklamą, a nie prospektem dla celów Rozporządzenia UE 2017/1129 oraz nie stanowi ani nie powinno być interpretowane jako oferta, nakłanianie lub zaproszenie do sprzedaży lub emisji, jak również jako oferta, nakłanianie lub zaproszenie do złożenia zapisu, gwarantowania, kupna lub innego nabycia papierów wartościowych Spółki lub jej podmiotów zależnych w jakiejkolwiek jurysdykcji, ani jako zachęta lub rekomendacja do podjęcia działań o charakterze inwestycyjnym w jakiejkolwiek jurysdykcji. Wszelka oferta nabycia akcji w ramach Oferty będzie prowadzona, a wszelkie decyzje inwestycyjne powinny być podejmowane przez inwestorów wyłącznie na podstawie informacji zawartych w prospekcie („Prospekt”) opublikowanym przez Spółkę w związku z dopuszczeniem akcji Spółki do obrotu na Giełdzie Papierów Wartościowych w Warszawie oraz zatwierdzonym przez Komisję Nadzoru Finansowego w dniu 1 lipca 2021 r. Prospekt jest jedynym wiążącym dokumentem zawierającym informacje o Spółce oraz ofercie jej papierów wartościowych w Polsce. Kopia Prospektu, jest dostępna na stronie internetowej Spółki </w:t>
      </w:r>
      <w:hyperlink r:id="rId13" w:history="1">
        <w:r w:rsidRPr="000B5A84">
          <w:rPr>
            <w:rStyle w:val="Hipercze"/>
            <w:rFonts w:ascii="Arial" w:eastAsia="Arial" w:hAnsi="Arial" w:cs="Arial"/>
            <w:i/>
            <w:iCs/>
            <w:sz w:val="16"/>
            <w:szCs w:val="16"/>
          </w:rPr>
          <w:t>www.celonpharma.com</w:t>
        </w:r>
      </w:hyperlink>
      <w:r w:rsidRPr="000B5A84">
        <w:rPr>
          <w:rFonts w:ascii="Arial" w:eastAsia="Arial" w:hAnsi="Arial" w:cs="Arial"/>
          <w:i/>
          <w:iCs/>
          <w:color w:val="000000"/>
          <w:sz w:val="16"/>
          <w:szCs w:val="16"/>
        </w:rPr>
        <w:t>, z zastrzeżeniem obowiązujących przepisów prawa dotyczących papierów wartościowych.</w:t>
      </w:r>
    </w:p>
    <w:p w14:paraId="2EDCC13D" w14:textId="77777777" w:rsidR="000B5A84" w:rsidRPr="000B5A84" w:rsidRDefault="000B5A84" w:rsidP="000B5A84">
      <w:pPr>
        <w:spacing w:after="0" w:line="252" w:lineRule="auto"/>
        <w:jc w:val="both"/>
        <w:rPr>
          <w:rFonts w:ascii="Arial" w:eastAsia="Arial" w:hAnsi="Arial" w:cs="Arial"/>
          <w:i/>
          <w:iCs/>
          <w:color w:val="000000"/>
          <w:sz w:val="16"/>
          <w:szCs w:val="16"/>
        </w:rPr>
      </w:pPr>
    </w:p>
    <w:p w14:paraId="6593609A" w14:textId="63E7214A" w:rsidR="00496DCD" w:rsidRPr="006672C5" w:rsidRDefault="0055008A" w:rsidP="008C0498">
      <w:pPr>
        <w:spacing w:before="100" w:beforeAutospacing="1" w:after="100" w:afterAutospacing="1"/>
        <w:jc w:val="both"/>
        <w:rPr>
          <w:rFonts w:cs="Calibri"/>
        </w:rPr>
      </w:pPr>
      <w:r>
        <w:rPr>
          <w:rFonts w:cs="Calibri"/>
          <w:b/>
          <w:bCs/>
        </w:rPr>
        <w:t>W</w:t>
      </w:r>
      <w:r w:rsidRPr="006672C5">
        <w:rPr>
          <w:rFonts w:cs="Calibri"/>
          <w:b/>
          <w:bCs/>
        </w:rPr>
        <w:t xml:space="preserve"> związku z planowaną ofertą publiczną akcji serii D</w:t>
      </w:r>
      <w:r>
        <w:rPr>
          <w:rFonts w:cs="Calibri"/>
          <w:b/>
          <w:bCs/>
        </w:rPr>
        <w:t>,</w:t>
      </w:r>
      <w:r w:rsidRPr="006672C5">
        <w:rPr>
          <w:rFonts w:cs="Calibri"/>
          <w:b/>
          <w:bCs/>
        </w:rPr>
        <w:t xml:space="preserve"> </w:t>
      </w:r>
      <w:r>
        <w:rPr>
          <w:b/>
        </w:rPr>
        <w:t>s</w:t>
      </w:r>
      <w:r w:rsidR="00496DCD" w:rsidRPr="00673C27">
        <w:rPr>
          <w:b/>
        </w:rPr>
        <w:t xml:space="preserve">półka </w:t>
      </w:r>
      <w:r w:rsidR="00496DCD" w:rsidRPr="006672C5">
        <w:rPr>
          <w:rFonts w:cs="Calibri"/>
          <w:b/>
        </w:rPr>
        <w:t xml:space="preserve">Celon Pharma S.A., </w:t>
      </w:r>
      <w:r w:rsidR="002E51E2" w:rsidRPr="006672C5">
        <w:rPr>
          <w:rFonts w:cs="Calibri"/>
          <w:b/>
          <w:color w:val="000000"/>
        </w:rPr>
        <w:t>1 lipca 2021</w:t>
      </w:r>
      <w:r w:rsidR="00CF2D76" w:rsidRPr="006672C5">
        <w:rPr>
          <w:rFonts w:cs="Calibri"/>
          <w:b/>
          <w:color w:val="000000"/>
        </w:rPr>
        <w:t xml:space="preserve"> r. </w:t>
      </w:r>
      <w:r>
        <w:rPr>
          <w:rFonts w:cs="Calibri"/>
          <w:b/>
          <w:color w:val="000000"/>
        </w:rPr>
        <w:t xml:space="preserve">otrzymała informację o </w:t>
      </w:r>
      <w:r w:rsidRPr="0055008A">
        <w:rPr>
          <w:rFonts w:cs="Calibri"/>
          <w:b/>
          <w:color w:val="000000"/>
        </w:rPr>
        <w:t xml:space="preserve">zatwierdzeniu przez Komisję Nadzoru Finansowego prospektu sporządzonego </w:t>
      </w:r>
      <w:r>
        <w:rPr>
          <w:rFonts w:cs="Calibri"/>
          <w:b/>
          <w:color w:val="000000"/>
        </w:rPr>
        <w:t>oraz</w:t>
      </w:r>
      <w:r w:rsidRPr="00AE4BBD">
        <w:t xml:space="preserve"> </w:t>
      </w:r>
      <w:r w:rsidR="00496DCD" w:rsidRPr="006672C5">
        <w:rPr>
          <w:rFonts w:cs="Calibri"/>
          <w:b/>
          <w:bCs/>
        </w:rPr>
        <w:t xml:space="preserve">opublikowała </w:t>
      </w:r>
      <w:r w:rsidR="003C3BD7">
        <w:rPr>
          <w:rFonts w:cs="Calibri"/>
          <w:b/>
          <w:bCs/>
        </w:rPr>
        <w:t>go.</w:t>
      </w:r>
      <w:r w:rsidR="00496DCD" w:rsidRPr="006672C5">
        <w:rPr>
          <w:rFonts w:cs="Calibri"/>
          <w:b/>
          <w:bCs/>
        </w:rPr>
        <w:t xml:space="preserve"> Cena maksymalna w ofercie ustalona została na </w:t>
      </w:r>
      <w:r w:rsidR="005E5F1D">
        <w:rPr>
          <w:rFonts w:cs="Calibri"/>
          <w:b/>
          <w:bCs/>
        </w:rPr>
        <w:t xml:space="preserve">45 </w:t>
      </w:r>
      <w:r w:rsidR="00EA54F2" w:rsidRPr="006672C5">
        <w:rPr>
          <w:rFonts w:cs="Calibri"/>
          <w:b/>
          <w:bCs/>
        </w:rPr>
        <w:t xml:space="preserve"> zł za jedną akcję</w:t>
      </w:r>
      <w:r w:rsidR="008C0498" w:rsidRPr="006672C5">
        <w:rPr>
          <w:rFonts w:cs="Calibri"/>
          <w:b/>
        </w:rPr>
        <w:t xml:space="preserve">. Spółka docelowo zamierza wyemitować do 6 000 000 akcji i pozyskać </w:t>
      </w:r>
      <w:r w:rsidR="00965A57">
        <w:rPr>
          <w:rFonts w:cs="Calibri"/>
          <w:b/>
        </w:rPr>
        <w:t xml:space="preserve">do </w:t>
      </w:r>
      <w:r w:rsidR="008C0498" w:rsidRPr="006672C5">
        <w:rPr>
          <w:rFonts w:cs="Calibri"/>
          <w:b/>
        </w:rPr>
        <w:t>60 mln euro</w:t>
      </w:r>
      <w:r w:rsidR="00965A57">
        <w:rPr>
          <w:rFonts w:cs="Calibri"/>
          <w:b/>
        </w:rPr>
        <w:t>, głównie</w:t>
      </w:r>
      <w:r w:rsidR="008C0498" w:rsidRPr="006672C5">
        <w:rPr>
          <w:rFonts w:cs="Calibri"/>
          <w:b/>
        </w:rPr>
        <w:t xml:space="preserve"> na rozwój działalności w segmencie innowacyjnym w perspektywie kolejnych dwóch lat. </w:t>
      </w:r>
      <w:r w:rsidR="008C0498" w:rsidRPr="006672C5">
        <w:rPr>
          <w:rFonts w:eastAsia="Times New Roman" w:cs="Calibri"/>
          <w:b/>
          <w:lang w:eastAsia="pl-PL"/>
        </w:rPr>
        <w:t xml:space="preserve"> </w:t>
      </w:r>
    </w:p>
    <w:p w14:paraId="61EDDA12" w14:textId="7E68B4E0" w:rsidR="00F85902" w:rsidRPr="006672C5" w:rsidRDefault="009802E5" w:rsidP="008C0498">
      <w:pPr>
        <w:spacing w:before="100" w:beforeAutospacing="1" w:after="100" w:afterAutospacing="1"/>
        <w:jc w:val="both"/>
        <w:rPr>
          <w:rFonts w:eastAsia="Times New Roman" w:cs="Calibri"/>
          <w:b/>
          <w:lang w:eastAsia="pl-PL"/>
        </w:rPr>
      </w:pPr>
      <w:r w:rsidRPr="006672C5">
        <w:rPr>
          <w:rFonts w:cs="Calibri"/>
          <w:lang w:eastAsia="pl-PL"/>
        </w:rPr>
        <w:t xml:space="preserve">Celem emisji </w:t>
      </w:r>
      <w:r w:rsidR="00434B5A" w:rsidRPr="006672C5">
        <w:rPr>
          <w:rFonts w:cs="Calibri"/>
          <w:lang w:eastAsia="pl-PL"/>
        </w:rPr>
        <w:t>a</w:t>
      </w:r>
      <w:r w:rsidRPr="006672C5">
        <w:rPr>
          <w:rFonts w:cs="Calibri"/>
          <w:lang w:eastAsia="pl-PL"/>
        </w:rPr>
        <w:t xml:space="preserve">kcji </w:t>
      </w:r>
      <w:r w:rsidR="00434B5A" w:rsidRPr="006672C5">
        <w:rPr>
          <w:rFonts w:cs="Calibri"/>
          <w:lang w:eastAsia="pl-PL"/>
        </w:rPr>
        <w:t>s</w:t>
      </w:r>
      <w:r w:rsidRPr="006672C5">
        <w:rPr>
          <w:rFonts w:cs="Calibri"/>
          <w:lang w:eastAsia="pl-PL"/>
        </w:rPr>
        <w:t xml:space="preserve">erii </w:t>
      </w:r>
      <w:r w:rsidR="002E51E2" w:rsidRPr="006672C5">
        <w:rPr>
          <w:rFonts w:cs="Calibri"/>
          <w:lang w:eastAsia="pl-PL"/>
        </w:rPr>
        <w:t>D</w:t>
      </w:r>
      <w:r w:rsidRPr="006672C5">
        <w:rPr>
          <w:rFonts w:cs="Calibri"/>
          <w:lang w:eastAsia="pl-PL"/>
        </w:rPr>
        <w:t xml:space="preserve"> jest</w:t>
      </w:r>
      <w:r w:rsidR="002E51E2" w:rsidRPr="006672C5">
        <w:rPr>
          <w:rFonts w:cs="Calibri"/>
          <w:lang w:eastAsia="pl-PL"/>
        </w:rPr>
        <w:t xml:space="preserve"> wspófinansowanie </w:t>
      </w:r>
      <w:r w:rsidR="005D1C1B" w:rsidRPr="006672C5">
        <w:rPr>
          <w:rFonts w:cs="Calibri"/>
          <w:lang w:eastAsia="pl-PL"/>
        </w:rPr>
        <w:t xml:space="preserve">innowacyjnej działalności Spółki, w szczególności </w:t>
      </w:r>
      <w:r w:rsidR="002E51E2" w:rsidRPr="006672C5">
        <w:rPr>
          <w:rFonts w:cs="Calibri"/>
          <w:lang w:eastAsia="pl-PL"/>
        </w:rPr>
        <w:t xml:space="preserve">rozwoju oraz komercjalizacji najbardziej zaawansowanych projektów znajdujących się w rozwoju klinicznym, </w:t>
      </w:r>
      <w:r w:rsidR="008C0498" w:rsidRPr="006672C5">
        <w:rPr>
          <w:rFonts w:cs="Calibri"/>
          <w:lang w:eastAsia="pl-PL"/>
        </w:rPr>
        <w:t xml:space="preserve">tj.: </w:t>
      </w:r>
      <w:r w:rsidR="002E51E2" w:rsidRPr="006672C5">
        <w:rPr>
          <w:rFonts w:cs="Calibri"/>
          <w:lang w:eastAsia="pl-PL"/>
        </w:rPr>
        <w:t xml:space="preserve"> </w:t>
      </w:r>
      <w:proofErr w:type="spellStart"/>
      <w:r w:rsidR="002E51E2" w:rsidRPr="006672C5">
        <w:rPr>
          <w:rFonts w:cs="Calibri"/>
          <w:lang w:eastAsia="pl-PL"/>
        </w:rPr>
        <w:t>Falkieri</w:t>
      </w:r>
      <w:proofErr w:type="spellEnd"/>
      <w:r w:rsidR="002E51E2" w:rsidRPr="006672C5">
        <w:rPr>
          <w:rFonts w:cs="Calibri"/>
          <w:lang w:eastAsia="pl-PL"/>
        </w:rPr>
        <w:t xml:space="preserve"> </w:t>
      </w:r>
      <w:r w:rsidR="00305CAC">
        <w:rPr>
          <w:rFonts w:cs="Calibri"/>
          <w:lang w:eastAsia="pl-PL"/>
        </w:rPr>
        <w:t xml:space="preserve">– </w:t>
      </w:r>
      <w:proofErr w:type="spellStart"/>
      <w:r w:rsidR="00305CAC">
        <w:rPr>
          <w:rFonts w:cs="Calibri"/>
          <w:lang w:eastAsia="pl-PL"/>
        </w:rPr>
        <w:t>esketamina</w:t>
      </w:r>
      <w:proofErr w:type="spellEnd"/>
      <w:r w:rsidR="00305CAC">
        <w:rPr>
          <w:rFonts w:cs="Calibri"/>
          <w:lang w:eastAsia="pl-PL"/>
        </w:rPr>
        <w:t xml:space="preserve"> </w:t>
      </w:r>
      <w:r w:rsidR="002E51E2" w:rsidRPr="006672C5">
        <w:rPr>
          <w:rFonts w:cs="Calibri"/>
          <w:lang w:eastAsia="pl-PL"/>
        </w:rPr>
        <w:t xml:space="preserve">w </w:t>
      </w:r>
      <w:r w:rsidR="008C0498" w:rsidRPr="006672C5">
        <w:rPr>
          <w:rFonts w:cs="Calibri"/>
          <w:lang w:eastAsia="pl-PL"/>
        </w:rPr>
        <w:t xml:space="preserve">leczeniu </w:t>
      </w:r>
      <w:r w:rsidR="0055008A">
        <w:rPr>
          <w:rFonts w:cs="Calibri"/>
          <w:lang w:eastAsia="pl-PL"/>
        </w:rPr>
        <w:t xml:space="preserve">dwubiegunowej </w:t>
      </w:r>
      <w:r w:rsidR="002E51E2" w:rsidRPr="006672C5">
        <w:rPr>
          <w:rFonts w:cs="Calibri"/>
          <w:lang w:eastAsia="pl-PL"/>
        </w:rPr>
        <w:t>depresji lekoopornej, CPL’116</w:t>
      </w:r>
      <w:r w:rsidR="00305CAC">
        <w:rPr>
          <w:rFonts w:cs="Calibri"/>
          <w:lang w:eastAsia="pl-PL"/>
        </w:rPr>
        <w:t xml:space="preserve"> – inhibitor JAK/ROCK</w:t>
      </w:r>
      <w:r w:rsidR="002E51E2" w:rsidRPr="006672C5">
        <w:rPr>
          <w:rFonts w:cs="Calibri"/>
          <w:lang w:eastAsia="pl-PL"/>
        </w:rPr>
        <w:t xml:space="preserve"> w chor</w:t>
      </w:r>
      <w:r w:rsidR="008C0498" w:rsidRPr="006672C5">
        <w:rPr>
          <w:rFonts w:cs="Calibri"/>
          <w:lang w:eastAsia="pl-PL"/>
        </w:rPr>
        <w:t>obach</w:t>
      </w:r>
      <w:r w:rsidR="002E51E2" w:rsidRPr="006672C5">
        <w:rPr>
          <w:rFonts w:cs="Calibri"/>
          <w:lang w:eastAsia="pl-PL"/>
        </w:rPr>
        <w:t xml:space="preserve"> </w:t>
      </w:r>
      <w:r w:rsidR="0055008A" w:rsidRPr="0055008A">
        <w:rPr>
          <w:rFonts w:cs="Calibri"/>
          <w:lang w:eastAsia="pl-PL"/>
        </w:rPr>
        <w:t>autoimmunologiczn</w:t>
      </w:r>
      <w:r w:rsidR="0055008A">
        <w:rPr>
          <w:rFonts w:cs="Calibri"/>
          <w:lang w:eastAsia="pl-PL"/>
        </w:rPr>
        <w:t>ych</w:t>
      </w:r>
      <w:r w:rsidR="002E51E2" w:rsidRPr="006672C5">
        <w:rPr>
          <w:rFonts w:cs="Calibri"/>
          <w:lang w:eastAsia="pl-PL"/>
        </w:rPr>
        <w:t>, CPL’36</w:t>
      </w:r>
      <w:r w:rsidR="005D1C1B" w:rsidRPr="006672C5">
        <w:rPr>
          <w:rFonts w:cs="Calibri"/>
          <w:lang w:eastAsia="pl-PL"/>
        </w:rPr>
        <w:t xml:space="preserve"> </w:t>
      </w:r>
      <w:r w:rsidR="00305CAC">
        <w:rPr>
          <w:rFonts w:cs="Calibri"/>
          <w:lang w:eastAsia="pl-PL"/>
        </w:rPr>
        <w:t xml:space="preserve">– inhibitor PDE10a </w:t>
      </w:r>
      <w:r w:rsidR="005D1C1B" w:rsidRPr="006672C5">
        <w:rPr>
          <w:rFonts w:cs="Calibri"/>
          <w:lang w:eastAsia="pl-PL"/>
        </w:rPr>
        <w:t xml:space="preserve">w </w:t>
      </w:r>
      <w:r w:rsidR="0055008A">
        <w:rPr>
          <w:rFonts w:cs="Calibri"/>
          <w:lang w:eastAsia="pl-PL"/>
        </w:rPr>
        <w:t xml:space="preserve">schizofrenii </w:t>
      </w:r>
      <w:r w:rsidR="005D1C1B" w:rsidRPr="006672C5">
        <w:rPr>
          <w:rFonts w:cs="Calibri"/>
          <w:lang w:eastAsia="pl-PL"/>
        </w:rPr>
        <w:t xml:space="preserve">i </w:t>
      </w:r>
      <w:proofErr w:type="spellStart"/>
      <w:r w:rsidR="005D1C1B" w:rsidRPr="006672C5">
        <w:rPr>
          <w:rFonts w:cs="Calibri"/>
          <w:lang w:eastAsia="pl-PL"/>
        </w:rPr>
        <w:t>dyskinezjach</w:t>
      </w:r>
      <w:proofErr w:type="spellEnd"/>
      <w:r w:rsidR="005D1C1B" w:rsidRPr="006672C5">
        <w:rPr>
          <w:rFonts w:cs="Calibri"/>
          <w:lang w:eastAsia="pl-PL"/>
        </w:rPr>
        <w:t xml:space="preserve"> </w:t>
      </w:r>
      <w:proofErr w:type="spellStart"/>
      <w:r w:rsidR="005D1C1B" w:rsidRPr="006672C5">
        <w:rPr>
          <w:rFonts w:cs="Calibri"/>
          <w:lang w:eastAsia="pl-PL"/>
        </w:rPr>
        <w:t>polewodopowych</w:t>
      </w:r>
      <w:proofErr w:type="spellEnd"/>
      <w:r w:rsidR="005D1C1B" w:rsidRPr="006672C5">
        <w:rPr>
          <w:rFonts w:cs="Calibri"/>
          <w:lang w:eastAsia="pl-PL"/>
        </w:rPr>
        <w:t>,</w:t>
      </w:r>
      <w:r w:rsidR="002E51E2" w:rsidRPr="006672C5">
        <w:rPr>
          <w:rFonts w:cs="Calibri"/>
          <w:lang w:eastAsia="pl-PL"/>
        </w:rPr>
        <w:t xml:space="preserve"> CPL’110 </w:t>
      </w:r>
      <w:r w:rsidR="00305CAC">
        <w:rPr>
          <w:rFonts w:cs="Calibri"/>
          <w:lang w:eastAsia="pl-PL"/>
        </w:rPr>
        <w:t xml:space="preserve">– inhibitor FGFR </w:t>
      </w:r>
      <w:r w:rsidR="002E51E2" w:rsidRPr="006672C5">
        <w:rPr>
          <w:rFonts w:cs="Calibri"/>
          <w:lang w:eastAsia="pl-PL"/>
        </w:rPr>
        <w:t xml:space="preserve">w </w:t>
      </w:r>
      <w:r w:rsidR="005D1C1B" w:rsidRPr="006672C5">
        <w:rPr>
          <w:rFonts w:cs="Calibri"/>
          <w:lang w:eastAsia="pl-PL"/>
        </w:rPr>
        <w:t>guzach litych</w:t>
      </w:r>
      <w:r w:rsidR="008C0498" w:rsidRPr="006672C5">
        <w:rPr>
          <w:rFonts w:cs="Calibri"/>
          <w:lang w:eastAsia="pl-PL"/>
        </w:rPr>
        <w:t>, a także</w:t>
      </w:r>
      <w:r w:rsidR="002E51E2" w:rsidRPr="006672C5">
        <w:rPr>
          <w:rFonts w:cs="Calibri"/>
          <w:lang w:eastAsia="pl-PL"/>
        </w:rPr>
        <w:t xml:space="preserve"> CPL’280</w:t>
      </w:r>
      <w:r w:rsidR="00305CAC">
        <w:rPr>
          <w:rFonts w:cs="Calibri"/>
          <w:lang w:eastAsia="pl-PL"/>
        </w:rPr>
        <w:t xml:space="preserve"> – agonista GPR40</w:t>
      </w:r>
      <w:r w:rsidR="002E51E2" w:rsidRPr="006672C5">
        <w:rPr>
          <w:rFonts w:cs="Calibri"/>
          <w:lang w:eastAsia="pl-PL"/>
        </w:rPr>
        <w:t xml:space="preserve"> w cukrzycy typu 2 i neuropatiach cukrzycowych</w:t>
      </w:r>
      <w:r w:rsidR="005D1C1B" w:rsidRPr="006672C5">
        <w:rPr>
          <w:rFonts w:cs="Calibri"/>
          <w:lang w:eastAsia="pl-PL"/>
        </w:rPr>
        <w:t xml:space="preserve">. </w:t>
      </w:r>
    </w:p>
    <w:p w14:paraId="7CD3D47B" w14:textId="0A2682AD" w:rsidR="00836137" w:rsidRPr="006672C5" w:rsidRDefault="003668EA" w:rsidP="00834831">
      <w:pPr>
        <w:spacing w:before="100" w:beforeAutospacing="1" w:after="100" w:afterAutospacing="1"/>
        <w:jc w:val="both"/>
        <w:rPr>
          <w:rFonts w:cs="Calibri"/>
        </w:rPr>
      </w:pPr>
      <w:r w:rsidRPr="006672C5">
        <w:rPr>
          <w:rFonts w:cs="Calibri"/>
          <w:i/>
          <w:iCs/>
        </w:rPr>
        <w:t>Zarówno wielkość</w:t>
      </w:r>
      <w:r w:rsidR="0055008A">
        <w:rPr>
          <w:rFonts w:cs="Calibri"/>
          <w:i/>
          <w:iCs/>
        </w:rPr>
        <w:t xml:space="preserve"> (60 mln EUR)</w:t>
      </w:r>
      <w:r w:rsidRPr="006672C5">
        <w:rPr>
          <w:rFonts w:cs="Calibri"/>
          <w:i/>
          <w:iCs/>
        </w:rPr>
        <w:t xml:space="preserve">, jak i </w:t>
      </w:r>
      <w:r w:rsidR="0055008A">
        <w:rPr>
          <w:rFonts w:cs="Calibri"/>
          <w:i/>
          <w:iCs/>
        </w:rPr>
        <w:t>dwuletni horyzont</w:t>
      </w:r>
      <w:r w:rsidR="0055008A" w:rsidRPr="006672C5">
        <w:rPr>
          <w:rFonts w:cs="Calibri"/>
          <w:i/>
          <w:iCs/>
        </w:rPr>
        <w:t xml:space="preserve"> </w:t>
      </w:r>
      <w:r w:rsidRPr="006672C5">
        <w:rPr>
          <w:rFonts w:cs="Calibri"/>
          <w:i/>
          <w:iCs/>
        </w:rPr>
        <w:t>transakcji są związane z ogólną długoterminową strategią Celon Pharma, która zakłada samodzielny rozwój projektów klinicznych do 2 fazy, a następnie dalszy rozwój</w:t>
      </w:r>
      <w:r w:rsidRPr="006672C5">
        <w:rPr>
          <w:rFonts w:cs="Calibri"/>
          <w:i/>
        </w:rPr>
        <w:t xml:space="preserve"> oraz komercjalizację, w zależności od projektu oraz rynku - z partnerem</w:t>
      </w:r>
      <w:r w:rsidR="00D25EDB">
        <w:rPr>
          <w:rFonts w:cs="Calibri"/>
          <w:i/>
        </w:rPr>
        <w:t xml:space="preserve"> lub </w:t>
      </w:r>
      <w:r w:rsidR="00E54489">
        <w:rPr>
          <w:rFonts w:cs="Calibri"/>
          <w:i/>
        </w:rPr>
        <w:t xml:space="preserve">w niektórych przypadkach </w:t>
      </w:r>
      <w:r w:rsidR="00D25EDB">
        <w:rPr>
          <w:rFonts w:cs="Calibri"/>
          <w:i/>
        </w:rPr>
        <w:t>samodzielnie</w:t>
      </w:r>
      <w:r w:rsidRPr="006672C5">
        <w:rPr>
          <w:rFonts w:cs="Calibri"/>
          <w:i/>
        </w:rPr>
        <w:t xml:space="preserve"> - </w:t>
      </w:r>
      <w:r w:rsidR="009A1493" w:rsidRPr="006672C5">
        <w:rPr>
          <w:rFonts w:cs="Calibri"/>
          <w:i/>
        </w:rPr>
        <w:t xml:space="preserve"> </w:t>
      </w:r>
      <w:r w:rsidR="009A1493" w:rsidRPr="006672C5">
        <w:rPr>
          <w:rFonts w:cs="Calibri"/>
          <w:b/>
        </w:rPr>
        <w:t>mówi Maciej Wieczorek, P</w:t>
      </w:r>
      <w:r w:rsidR="00F85902" w:rsidRPr="006672C5">
        <w:rPr>
          <w:rFonts w:cs="Calibri"/>
          <w:b/>
        </w:rPr>
        <w:t xml:space="preserve">rezes </w:t>
      </w:r>
      <w:r w:rsidR="009A1493" w:rsidRPr="006672C5">
        <w:rPr>
          <w:rFonts w:cs="Calibri"/>
          <w:b/>
        </w:rPr>
        <w:t xml:space="preserve">Zarządu </w:t>
      </w:r>
      <w:r w:rsidR="00F85902" w:rsidRPr="006672C5">
        <w:rPr>
          <w:rFonts w:cs="Calibri"/>
          <w:b/>
        </w:rPr>
        <w:t>Celon Pharma S.A.</w:t>
      </w:r>
      <w:r w:rsidRPr="006672C5">
        <w:rPr>
          <w:rFonts w:cs="Calibri"/>
          <w:b/>
        </w:rPr>
        <w:t xml:space="preserve"> - </w:t>
      </w:r>
      <w:r w:rsidRPr="006672C5">
        <w:rPr>
          <w:rFonts w:cs="Calibri"/>
          <w:i/>
        </w:rPr>
        <w:t>Emisję akcji kierujemy do inwestorów, którzy doskonale znają spółkę i wspierają ją od debiutu na Giełdzie Papierów Wartościowych w Warszawie</w:t>
      </w:r>
      <w:r w:rsidR="008C0498" w:rsidRPr="006672C5">
        <w:rPr>
          <w:rFonts w:cs="Calibri"/>
          <w:i/>
        </w:rPr>
        <w:t xml:space="preserve">, ale również do tych, którzy </w:t>
      </w:r>
      <w:r w:rsidR="0055008A">
        <w:rPr>
          <w:rFonts w:cs="Calibri"/>
          <w:i/>
        </w:rPr>
        <w:t xml:space="preserve">dostrzegają długofalową wartość naszej Spółki </w:t>
      </w:r>
      <w:r w:rsidR="008C0498" w:rsidRPr="006672C5">
        <w:rPr>
          <w:rFonts w:cs="Calibri"/>
          <w:i/>
        </w:rPr>
        <w:t xml:space="preserve">chcieliby dołączyć do tego grona. </w:t>
      </w:r>
      <w:r w:rsidRPr="006672C5">
        <w:rPr>
          <w:rFonts w:cs="Calibri"/>
          <w:i/>
        </w:rPr>
        <w:t xml:space="preserve">W ciągu ostatnich </w:t>
      </w:r>
      <w:r w:rsidRPr="006672C5">
        <w:rPr>
          <w:rFonts w:cs="Calibri"/>
          <w:i/>
        </w:rPr>
        <w:lastRenderedPageBreak/>
        <w:t>miesięcy mieliśmy interakcje zarówno z inwestorami lokalnymi i międzynarodowymi</w:t>
      </w:r>
      <w:r w:rsidR="0055008A">
        <w:rPr>
          <w:rFonts w:cs="Calibri"/>
          <w:i/>
        </w:rPr>
        <w:t xml:space="preserve">, którzy wyrazili zainteresowanie </w:t>
      </w:r>
      <w:r w:rsidRPr="006672C5">
        <w:rPr>
          <w:rFonts w:cs="Calibri"/>
          <w:i/>
        </w:rPr>
        <w:t>dobrze zdywersyfikowany</w:t>
      </w:r>
      <w:r w:rsidR="0055008A">
        <w:rPr>
          <w:rFonts w:cs="Calibri"/>
          <w:i/>
        </w:rPr>
        <w:t>m</w:t>
      </w:r>
      <w:r w:rsidRPr="006672C5">
        <w:rPr>
          <w:rFonts w:cs="Calibri"/>
          <w:i/>
        </w:rPr>
        <w:t xml:space="preserve"> profil</w:t>
      </w:r>
      <w:r w:rsidR="0055008A">
        <w:rPr>
          <w:rFonts w:cs="Calibri"/>
          <w:i/>
        </w:rPr>
        <w:t>em</w:t>
      </w:r>
      <w:r w:rsidRPr="006672C5">
        <w:rPr>
          <w:rFonts w:cs="Calibri"/>
          <w:i/>
        </w:rPr>
        <w:t xml:space="preserve"> </w:t>
      </w:r>
      <w:r w:rsidR="0055008A">
        <w:rPr>
          <w:rFonts w:cs="Calibri"/>
          <w:i/>
        </w:rPr>
        <w:t xml:space="preserve">naszej </w:t>
      </w:r>
      <w:r w:rsidRPr="006672C5">
        <w:rPr>
          <w:rFonts w:cs="Calibri"/>
          <w:i/>
        </w:rPr>
        <w:t>działalności</w:t>
      </w:r>
      <w:r w:rsidR="0055008A">
        <w:rPr>
          <w:rFonts w:cs="Calibri"/>
          <w:i/>
        </w:rPr>
        <w:t>,</w:t>
      </w:r>
      <w:r w:rsidRPr="006672C5">
        <w:rPr>
          <w:rFonts w:cs="Calibri"/>
          <w:i/>
        </w:rPr>
        <w:t xml:space="preserve"> interesującą ofert</w:t>
      </w:r>
      <w:r w:rsidR="0055008A">
        <w:rPr>
          <w:rFonts w:cs="Calibri"/>
          <w:i/>
        </w:rPr>
        <w:t xml:space="preserve">ą oraz </w:t>
      </w:r>
      <w:r w:rsidR="0051125E">
        <w:rPr>
          <w:rFonts w:cs="Calibri"/>
          <w:i/>
        </w:rPr>
        <w:t xml:space="preserve">naszym </w:t>
      </w:r>
      <w:r w:rsidR="0055008A">
        <w:rPr>
          <w:rFonts w:cs="Calibri"/>
          <w:i/>
        </w:rPr>
        <w:t>wzrostem na rynku leków generycznych</w:t>
      </w:r>
      <w:r w:rsidRPr="006672C5">
        <w:rPr>
          <w:rFonts w:cs="Calibri"/>
          <w:i/>
        </w:rPr>
        <w:t xml:space="preserve">. Liczymy zatem również na pozyskanie inwestorów zagranicznych, którzy wesprą nas w </w:t>
      </w:r>
      <w:r w:rsidR="0051125E">
        <w:rPr>
          <w:rFonts w:cs="Calibri"/>
          <w:i/>
        </w:rPr>
        <w:t xml:space="preserve">realizacji </w:t>
      </w:r>
      <w:r w:rsidRPr="006672C5">
        <w:rPr>
          <w:rFonts w:cs="Calibri"/>
          <w:i/>
        </w:rPr>
        <w:t>naszej strategii.</w:t>
      </w:r>
    </w:p>
    <w:p w14:paraId="658B5AC2" w14:textId="77777777" w:rsidR="00836137" w:rsidRDefault="000402F0" w:rsidP="00836137">
      <w:pPr>
        <w:pStyle w:val="Default"/>
        <w:jc w:val="center"/>
        <w:rPr>
          <w:b/>
          <w:bCs/>
          <w:sz w:val="22"/>
          <w:szCs w:val="22"/>
        </w:rPr>
      </w:pPr>
      <w:r w:rsidRPr="006672C5">
        <w:rPr>
          <w:b/>
          <w:bCs/>
          <w:sz w:val="22"/>
          <w:szCs w:val="22"/>
        </w:rPr>
        <w:t>Oferta p</w:t>
      </w:r>
      <w:r w:rsidR="00836137" w:rsidRPr="006672C5">
        <w:rPr>
          <w:b/>
          <w:bCs/>
          <w:sz w:val="22"/>
          <w:szCs w:val="22"/>
        </w:rPr>
        <w:t>ubliczna i harmonogram</w:t>
      </w:r>
    </w:p>
    <w:p w14:paraId="2E25A9DB" w14:textId="77777777" w:rsidR="005E5F1D" w:rsidRPr="006672C5" w:rsidRDefault="005E5F1D" w:rsidP="00836137">
      <w:pPr>
        <w:pStyle w:val="Default"/>
        <w:jc w:val="center"/>
        <w:rPr>
          <w:b/>
          <w:bCs/>
          <w:sz w:val="22"/>
          <w:szCs w:val="22"/>
        </w:rPr>
      </w:pPr>
    </w:p>
    <w:p w14:paraId="75F2072E" w14:textId="51ABB8DC" w:rsidR="00DC658F" w:rsidRPr="006672C5" w:rsidRDefault="005D0BC5" w:rsidP="00834831">
      <w:pPr>
        <w:spacing w:before="60" w:after="100" w:afterAutospacing="1"/>
        <w:jc w:val="both"/>
        <w:rPr>
          <w:rFonts w:cs="Calibri"/>
          <w:lang w:eastAsia="pl-PL"/>
        </w:rPr>
      </w:pPr>
      <w:r w:rsidRPr="006672C5">
        <w:rPr>
          <w:rFonts w:cs="Calibri"/>
          <w:lang w:eastAsia="pl-PL"/>
        </w:rPr>
        <w:t xml:space="preserve">Na podstawie Prospektu Spółka </w:t>
      </w:r>
      <w:r w:rsidR="00DC658F" w:rsidRPr="006672C5">
        <w:rPr>
          <w:rFonts w:cs="Calibri"/>
          <w:lang w:eastAsia="pl-PL"/>
        </w:rPr>
        <w:t>zamierza przeprowadzić</w:t>
      </w:r>
      <w:r w:rsidR="00A641AA">
        <w:rPr>
          <w:rFonts w:cs="Calibri"/>
          <w:lang w:eastAsia="pl-PL"/>
        </w:rPr>
        <w:t xml:space="preserve"> ofertę</w:t>
      </w:r>
      <w:r w:rsidR="00DC658F" w:rsidRPr="006672C5">
        <w:rPr>
          <w:rFonts w:cs="Calibri"/>
          <w:lang w:eastAsia="pl-PL"/>
        </w:rPr>
        <w:t xml:space="preserve"> publiczną</w:t>
      </w:r>
      <w:r w:rsidR="00154EF3" w:rsidRPr="006672C5">
        <w:rPr>
          <w:rFonts w:cs="Calibri"/>
          <w:lang w:eastAsia="pl-PL"/>
        </w:rPr>
        <w:t xml:space="preserve"> </w:t>
      </w:r>
      <w:r w:rsidR="00154EF3" w:rsidRPr="006672C5">
        <w:rPr>
          <w:rFonts w:cs="Calibri"/>
        </w:rPr>
        <w:t>nie więcej niż 6.000.000 nowo emitowanych akcji zwykłych serii D, z których każda daje prawo do jednego głosu Celon Pharma S.A</w:t>
      </w:r>
      <w:r w:rsidR="00673C27" w:rsidRPr="006672C5">
        <w:rPr>
          <w:rFonts w:cs="Calibri"/>
        </w:rPr>
        <w:t xml:space="preserve"> </w:t>
      </w:r>
      <w:r w:rsidR="00154EF3" w:rsidRPr="006672C5">
        <w:rPr>
          <w:rFonts w:cs="Calibri"/>
        </w:rPr>
        <w:t>o wartości nominalnej 0,10 PLN każda oraz</w:t>
      </w:r>
      <w:r w:rsidR="00673C27" w:rsidRPr="006672C5">
        <w:rPr>
          <w:rFonts w:cs="Calibri"/>
        </w:rPr>
        <w:t xml:space="preserve"> ubiegać </w:t>
      </w:r>
      <w:r w:rsidR="00154EF3" w:rsidRPr="006672C5">
        <w:rPr>
          <w:rFonts w:cs="Calibri"/>
        </w:rPr>
        <w:t xml:space="preserve">się </w:t>
      </w:r>
      <w:r w:rsidR="00673C27" w:rsidRPr="006672C5">
        <w:rPr>
          <w:rFonts w:cs="Calibri"/>
        </w:rPr>
        <w:t xml:space="preserve">o </w:t>
      </w:r>
      <w:r w:rsidR="00154EF3" w:rsidRPr="006672C5">
        <w:rPr>
          <w:rFonts w:cs="Calibri"/>
        </w:rPr>
        <w:t>dopuszczenie i wprowadzenie do obrotu na rynku regulowanym prowadzonym przez Giełdę Papierów Wartościowych w Warszawie S.A. nie więcej niż 6.000.000 praw do</w:t>
      </w:r>
      <w:r w:rsidR="00154EF3" w:rsidRPr="006672C5">
        <w:rPr>
          <w:rFonts w:cs="Calibri"/>
          <w:lang w:eastAsia="pl-PL"/>
        </w:rPr>
        <w:t xml:space="preserve"> </w:t>
      </w:r>
      <w:r w:rsidR="00DC658F" w:rsidRPr="006672C5">
        <w:rPr>
          <w:rFonts w:cs="Calibri"/>
          <w:lang w:eastAsia="pl-PL"/>
        </w:rPr>
        <w:t xml:space="preserve">akcji </w:t>
      </w:r>
      <w:r w:rsidR="00673C27" w:rsidRPr="006672C5">
        <w:rPr>
          <w:rFonts w:cs="Calibri"/>
          <w:lang w:eastAsia="pl-PL"/>
        </w:rPr>
        <w:t>oferowanych</w:t>
      </w:r>
      <w:r w:rsidR="00DC658F" w:rsidRPr="006672C5">
        <w:rPr>
          <w:rFonts w:cs="Calibri"/>
          <w:lang w:eastAsia="pl-PL"/>
        </w:rPr>
        <w:t xml:space="preserve"> serii </w:t>
      </w:r>
      <w:r w:rsidR="00154EF3" w:rsidRPr="006672C5">
        <w:rPr>
          <w:rFonts w:cs="Calibri"/>
          <w:lang w:eastAsia="pl-PL"/>
        </w:rPr>
        <w:t>D</w:t>
      </w:r>
      <w:r w:rsidR="00A641AA">
        <w:rPr>
          <w:rFonts w:cs="Calibri"/>
          <w:lang w:eastAsia="pl-PL"/>
        </w:rPr>
        <w:t xml:space="preserve"> oraz </w:t>
      </w:r>
      <w:r w:rsidR="00A641AA" w:rsidRPr="006672C5">
        <w:rPr>
          <w:rFonts w:cs="Calibri"/>
        </w:rPr>
        <w:t>nie więcej niż 6.000.000</w:t>
      </w:r>
      <w:r w:rsidR="00A641AA">
        <w:rPr>
          <w:rFonts w:cs="Calibri"/>
        </w:rPr>
        <w:t xml:space="preserve"> </w:t>
      </w:r>
      <w:r w:rsidR="00A641AA" w:rsidRPr="006672C5">
        <w:rPr>
          <w:rFonts w:cs="Calibri"/>
        </w:rPr>
        <w:t>nowo emitowanych akcji zwykłych serii D</w:t>
      </w:r>
      <w:r w:rsidR="00673C27" w:rsidRPr="006672C5">
        <w:rPr>
          <w:rFonts w:cs="Calibri"/>
          <w:lang w:eastAsia="pl-PL"/>
        </w:rPr>
        <w:t xml:space="preserve">. </w:t>
      </w:r>
    </w:p>
    <w:p w14:paraId="6543DA7B" w14:textId="5062FCFF" w:rsidR="005B2139" w:rsidRPr="006672C5" w:rsidRDefault="005B2139" w:rsidP="004109BE">
      <w:pPr>
        <w:spacing w:before="100" w:beforeAutospacing="1" w:after="100" w:afterAutospacing="1"/>
        <w:jc w:val="both"/>
        <w:rPr>
          <w:rFonts w:cs="Calibri"/>
        </w:rPr>
      </w:pPr>
    </w:p>
    <w:p w14:paraId="77219485" w14:textId="77777777" w:rsidR="008C0498" w:rsidRPr="006672C5" w:rsidRDefault="008C0498" w:rsidP="004109BE">
      <w:pPr>
        <w:spacing w:before="100" w:beforeAutospacing="1" w:after="100" w:afterAutospacing="1"/>
        <w:jc w:val="both"/>
        <w:rPr>
          <w:rFonts w:cs="Calibri"/>
        </w:rPr>
      </w:pPr>
    </w:p>
    <w:tbl>
      <w:tblPr>
        <w:tblW w:w="9322" w:type="dxa"/>
        <w:tblLook w:val="0400" w:firstRow="0" w:lastRow="0" w:firstColumn="0" w:lastColumn="0" w:noHBand="0" w:noVBand="1"/>
      </w:tblPr>
      <w:tblGrid>
        <w:gridCol w:w="2268"/>
        <w:gridCol w:w="7054"/>
      </w:tblGrid>
      <w:tr w:rsidR="008C0498" w:rsidRPr="006672C5" w14:paraId="0E72E674" w14:textId="77777777" w:rsidTr="00673C27">
        <w:tc>
          <w:tcPr>
            <w:tcW w:w="2268" w:type="dxa"/>
            <w:shd w:val="clear" w:color="auto" w:fill="auto"/>
          </w:tcPr>
          <w:p w14:paraId="5E4BAB79" w14:textId="77777777" w:rsidR="008C0498" w:rsidRPr="006672C5" w:rsidRDefault="008C0498" w:rsidP="006672C5">
            <w:pPr>
              <w:pStyle w:val="GTBodyText"/>
              <w:spacing w:before="0" w:after="80"/>
              <w:rPr>
                <w:rFonts w:ascii="Calibri" w:eastAsia="Calibri" w:hAnsi="Calibri" w:cs="Calibri"/>
                <w:sz w:val="22"/>
                <w:szCs w:val="22"/>
              </w:rPr>
            </w:pPr>
            <w:r w:rsidRPr="006672C5">
              <w:rPr>
                <w:rFonts w:ascii="Calibri" w:eastAsia="Calibri" w:hAnsi="Calibri" w:cs="Calibri"/>
                <w:sz w:val="22"/>
                <w:szCs w:val="22"/>
                <w:lang w:val="pl"/>
              </w:rPr>
              <w:t>1</w:t>
            </w:r>
            <w:r w:rsidR="00154EF3" w:rsidRPr="006672C5">
              <w:rPr>
                <w:rFonts w:ascii="Calibri" w:eastAsia="Calibri" w:hAnsi="Calibri" w:cs="Calibri"/>
                <w:sz w:val="22"/>
                <w:szCs w:val="22"/>
                <w:lang w:val="pl"/>
              </w:rPr>
              <w:t xml:space="preserve"> – 7 </w:t>
            </w:r>
            <w:r w:rsidRPr="006672C5">
              <w:rPr>
                <w:rFonts w:ascii="Calibri" w:eastAsia="Calibri" w:hAnsi="Calibri" w:cs="Calibri"/>
                <w:sz w:val="22"/>
                <w:szCs w:val="22"/>
                <w:lang w:val="pl"/>
              </w:rPr>
              <w:t xml:space="preserve"> lipca 2021 r.</w:t>
            </w:r>
          </w:p>
        </w:tc>
        <w:tc>
          <w:tcPr>
            <w:tcW w:w="7054" w:type="dxa"/>
            <w:shd w:val="clear" w:color="auto" w:fill="auto"/>
          </w:tcPr>
          <w:p w14:paraId="17FE3639" w14:textId="77777777" w:rsidR="008C0498" w:rsidRPr="006672C5" w:rsidRDefault="00154EF3" w:rsidP="006672C5">
            <w:pPr>
              <w:pStyle w:val="GTBodyText"/>
              <w:spacing w:before="0" w:after="80"/>
              <w:rPr>
                <w:rFonts w:ascii="Calibri" w:eastAsia="Calibri" w:hAnsi="Calibri" w:cs="Calibri"/>
                <w:sz w:val="22"/>
                <w:szCs w:val="22"/>
                <w:lang w:val="pl-PL"/>
              </w:rPr>
            </w:pPr>
            <w:r w:rsidRPr="006672C5">
              <w:rPr>
                <w:rFonts w:ascii="Calibri" w:eastAsia="Calibri" w:hAnsi="Calibri" w:cs="Calibri"/>
                <w:sz w:val="22"/>
                <w:szCs w:val="22"/>
                <w:lang w:val="pl"/>
              </w:rPr>
              <w:t>Proces</w:t>
            </w:r>
            <w:r w:rsidR="008C0498" w:rsidRPr="006672C5">
              <w:rPr>
                <w:rFonts w:ascii="Calibri" w:eastAsia="Calibri" w:hAnsi="Calibri" w:cs="Calibri"/>
                <w:sz w:val="22"/>
                <w:szCs w:val="22"/>
                <w:lang w:val="pl"/>
              </w:rPr>
              <w:t xml:space="preserve"> budowania księgi popytu wśród Inwestorów Instytucjonalnych  </w:t>
            </w:r>
          </w:p>
        </w:tc>
      </w:tr>
      <w:tr w:rsidR="008C0498" w:rsidRPr="006672C5" w14:paraId="4D042C4C" w14:textId="77777777" w:rsidTr="00673C27">
        <w:tc>
          <w:tcPr>
            <w:tcW w:w="2268" w:type="dxa"/>
            <w:shd w:val="clear" w:color="auto" w:fill="auto"/>
          </w:tcPr>
          <w:p w14:paraId="68FF9707" w14:textId="0090B4AF" w:rsidR="008C0498" w:rsidRPr="006672C5" w:rsidRDefault="008C0498" w:rsidP="006672C5">
            <w:pPr>
              <w:pStyle w:val="GTBodyText"/>
              <w:spacing w:before="0" w:after="80"/>
              <w:rPr>
                <w:rFonts w:ascii="Calibri" w:eastAsia="Calibri" w:hAnsi="Calibri" w:cs="Calibri"/>
                <w:sz w:val="22"/>
                <w:szCs w:val="22"/>
              </w:rPr>
            </w:pPr>
            <w:r w:rsidRPr="006672C5">
              <w:rPr>
                <w:rFonts w:ascii="Calibri" w:eastAsia="Calibri" w:hAnsi="Calibri" w:cs="Calibri"/>
                <w:sz w:val="22"/>
                <w:szCs w:val="22"/>
                <w:lang w:val="pl"/>
              </w:rPr>
              <w:t>2</w:t>
            </w:r>
            <w:r w:rsidR="0055008A">
              <w:rPr>
                <w:rFonts w:ascii="Calibri" w:eastAsia="Calibri" w:hAnsi="Calibri" w:cs="Calibri"/>
                <w:sz w:val="22"/>
                <w:szCs w:val="22"/>
                <w:lang w:val="pl"/>
              </w:rPr>
              <w:t xml:space="preserve"> </w:t>
            </w:r>
            <w:r w:rsidR="0055008A" w:rsidRPr="006672C5">
              <w:rPr>
                <w:rFonts w:ascii="Calibri" w:eastAsia="Calibri" w:hAnsi="Calibri" w:cs="Calibri"/>
                <w:sz w:val="22"/>
                <w:szCs w:val="22"/>
                <w:lang w:val="pl"/>
              </w:rPr>
              <w:t>–</w:t>
            </w:r>
            <w:r w:rsidR="0055008A">
              <w:rPr>
                <w:rFonts w:ascii="Calibri" w:eastAsia="Calibri" w:hAnsi="Calibri" w:cs="Calibri"/>
                <w:sz w:val="22"/>
                <w:szCs w:val="22"/>
                <w:lang w:val="pl"/>
              </w:rPr>
              <w:t xml:space="preserve"> </w:t>
            </w:r>
            <w:r w:rsidRPr="006672C5">
              <w:rPr>
                <w:rFonts w:ascii="Calibri" w:eastAsia="Calibri" w:hAnsi="Calibri" w:cs="Calibri"/>
                <w:sz w:val="22"/>
                <w:szCs w:val="22"/>
                <w:lang w:val="pl"/>
              </w:rPr>
              <w:t>6 lipca 2021 r.</w:t>
            </w:r>
          </w:p>
        </w:tc>
        <w:tc>
          <w:tcPr>
            <w:tcW w:w="7054" w:type="dxa"/>
            <w:shd w:val="clear" w:color="auto" w:fill="auto"/>
          </w:tcPr>
          <w:p w14:paraId="3051CBCC" w14:textId="77777777" w:rsidR="008C0498" w:rsidRPr="006672C5" w:rsidRDefault="008C0498" w:rsidP="006672C5">
            <w:pPr>
              <w:pStyle w:val="GTBodyText"/>
              <w:spacing w:before="0" w:after="80"/>
              <w:rPr>
                <w:rFonts w:ascii="Calibri" w:eastAsia="Calibri" w:hAnsi="Calibri" w:cs="Calibri"/>
                <w:sz w:val="22"/>
                <w:szCs w:val="22"/>
                <w:lang w:val="pl-PL"/>
              </w:rPr>
            </w:pPr>
            <w:r w:rsidRPr="006672C5">
              <w:rPr>
                <w:rFonts w:ascii="Calibri" w:eastAsia="Calibri" w:hAnsi="Calibri" w:cs="Calibri"/>
                <w:sz w:val="22"/>
                <w:szCs w:val="22"/>
                <w:lang w:val="pl"/>
              </w:rPr>
              <w:t xml:space="preserve">Przyjmowanie zapisów i płatności od </w:t>
            </w:r>
            <w:r w:rsidR="00673C27" w:rsidRPr="006672C5">
              <w:rPr>
                <w:rFonts w:ascii="Calibri" w:eastAsia="Calibri" w:hAnsi="Calibri" w:cs="Calibri"/>
                <w:sz w:val="22"/>
                <w:szCs w:val="22"/>
                <w:lang w:val="pl"/>
              </w:rPr>
              <w:t>Inwestorów Indywidualnych</w:t>
            </w:r>
          </w:p>
        </w:tc>
      </w:tr>
      <w:tr w:rsidR="008C0498" w:rsidRPr="006672C5" w14:paraId="1E768E00" w14:textId="77777777" w:rsidTr="00673C27">
        <w:tc>
          <w:tcPr>
            <w:tcW w:w="2268" w:type="dxa"/>
            <w:shd w:val="clear" w:color="auto" w:fill="auto"/>
          </w:tcPr>
          <w:p w14:paraId="34243B9F" w14:textId="4A703C38" w:rsidR="008C0498" w:rsidRPr="006672C5" w:rsidRDefault="008C0498" w:rsidP="006672C5">
            <w:pPr>
              <w:pStyle w:val="GTBodyText"/>
              <w:spacing w:before="0" w:after="80"/>
              <w:rPr>
                <w:rFonts w:ascii="Calibri" w:eastAsia="Calibri" w:hAnsi="Calibri" w:cs="Calibri"/>
                <w:sz w:val="22"/>
                <w:szCs w:val="22"/>
              </w:rPr>
            </w:pPr>
            <w:r w:rsidRPr="006672C5">
              <w:rPr>
                <w:rFonts w:ascii="Calibri" w:eastAsia="Calibri" w:hAnsi="Calibri" w:cs="Calibri"/>
                <w:sz w:val="22"/>
                <w:szCs w:val="22"/>
                <w:lang w:val="pl"/>
              </w:rPr>
              <w:t>8</w:t>
            </w:r>
            <w:r w:rsidR="0055008A">
              <w:rPr>
                <w:rFonts w:ascii="Calibri" w:eastAsia="Calibri" w:hAnsi="Calibri" w:cs="Calibri"/>
                <w:sz w:val="22"/>
                <w:szCs w:val="22"/>
                <w:lang w:val="pl"/>
              </w:rPr>
              <w:t xml:space="preserve"> </w:t>
            </w:r>
            <w:r w:rsidR="0055008A" w:rsidRPr="006672C5">
              <w:rPr>
                <w:rFonts w:ascii="Calibri" w:eastAsia="Calibri" w:hAnsi="Calibri" w:cs="Calibri"/>
                <w:sz w:val="22"/>
                <w:szCs w:val="22"/>
                <w:lang w:val="pl"/>
              </w:rPr>
              <w:t>–</w:t>
            </w:r>
            <w:r w:rsidR="0055008A">
              <w:rPr>
                <w:rFonts w:ascii="Calibri" w:eastAsia="Calibri" w:hAnsi="Calibri" w:cs="Calibri"/>
                <w:sz w:val="22"/>
                <w:szCs w:val="22"/>
                <w:lang w:val="pl"/>
              </w:rPr>
              <w:t xml:space="preserve"> </w:t>
            </w:r>
            <w:r w:rsidRPr="006672C5">
              <w:rPr>
                <w:rFonts w:ascii="Calibri" w:eastAsia="Calibri" w:hAnsi="Calibri" w:cs="Calibri"/>
                <w:sz w:val="22"/>
                <w:szCs w:val="22"/>
                <w:lang w:val="pl"/>
              </w:rPr>
              <w:t>12 lipca 2021 r.</w:t>
            </w:r>
          </w:p>
        </w:tc>
        <w:tc>
          <w:tcPr>
            <w:tcW w:w="7054" w:type="dxa"/>
            <w:shd w:val="clear" w:color="auto" w:fill="auto"/>
          </w:tcPr>
          <w:p w14:paraId="6D101EB2" w14:textId="77777777" w:rsidR="008C0498" w:rsidRPr="006672C5" w:rsidRDefault="00154EF3" w:rsidP="006672C5">
            <w:pPr>
              <w:pStyle w:val="GTBodyText"/>
              <w:spacing w:before="0" w:after="80"/>
              <w:rPr>
                <w:rFonts w:ascii="Calibri" w:eastAsia="Calibri" w:hAnsi="Calibri" w:cs="Calibri"/>
                <w:sz w:val="22"/>
                <w:szCs w:val="22"/>
                <w:lang w:val="pl-PL"/>
              </w:rPr>
            </w:pPr>
            <w:r w:rsidRPr="006672C5">
              <w:rPr>
                <w:rFonts w:ascii="Calibri" w:eastAsia="Calibri" w:hAnsi="Calibri" w:cs="Calibri"/>
                <w:sz w:val="22"/>
                <w:szCs w:val="22"/>
                <w:lang w:val="pl"/>
              </w:rPr>
              <w:t>P</w:t>
            </w:r>
            <w:r w:rsidR="008C0498" w:rsidRPr="006672C5">
              <w:rPr>
                <w:rFonts w:ascii="Calibri" w:eastAsia="Calibri" w:hAnsi="Calibri" w:cs="Calibri"/>
                <w:sz w:val="22"/>
                <w:szCs w:val="22"/>
                <w:lang w:val="pl"/>
              </w:rPr>
              <w:t xml:space="preserve">rzyjmowanie zapisów od Inwestorów Instytucjonalnych </w:t>
            </w:r>
          </w:p>
        </w:tc>
      </w:tr>
      <w:tr w:rsidR="008C0498" w:rsidRPr="006672C5" w14:paraId="0C62008B" w14:textId="77777777" w:rsidTr="00673C27">
        <w:tc>
          <w:tcPr>
            <w:tcW w:w="2268" w:type="dxa"/>
            <w:shd w:val="clear" w:color="auto" w:fill="auto"/>
          </w:tcPr>
          <w:p w14:paraId="453248E0" w14:textId="4EC31559" w:rsidR="008C0498" w:rsidRPr="006672C5" w:rsidRDefault="008C0498" w:rsidP="006672C5">
            <w:pPr>
              <w:pStyle w:val="GTBodyText"/>
              <w:spacing w:before="0" w:after="80"/>
              <w:rPr>
                <w:rFonts w:ascii="Calibri" w:eastAsia="Calibri" w:hAnsi="Calibri" w:cs="Calibri"/>
                <w:sz w:val="22"/>
                <w:szCs w:val="22"/>
              </w:rPr>
            </w:pPr>
            <w:r w:rsidRPr="006672C5">
              <w:rPr>
                <w:rFonts w:ascii="Calibri" w:eastAsia="Calibri" w:hAnsi="Calibri" w:cs="Calibri"/>
                <w:sz w:val="22"/>
                <w:szCs w:val="22"/>
                <w:lang w:val="pl"/>
              </w:rPr>
              <w:t>15 lipca 2021 r.</w:t>
            </w:r>
          </w:p>
        </w:tc>
        <w:tc>
          <w:tcPr>
            <w:tcW w:w="7054" w:type="dxa"/>
            <w:shd w:val="clear" w:color="auto" w:fill="auto"/>
          </w:tcPr>
          <w:p w14:paraId="3522A007" w14:textId="77777777" w:rsidR="008C0498" w:rsidRPr="006672C5" w:rsidRDefault="00673C27" w:rsidP="006672C5">
            <w:pPr>
              <w:pStyle w:val="GTBodyText"/>
              <w:spacing w:before="0" w:after="80"/>
              <w:rPr>
                <w:rFonts w:ascii="Calibri" w:eastAsia="Calibri" w:hAnsi="Calibri" w:cs="Calibri"/>
                <w:sz w:val="22"/>
                <w:szCs w:val="22"/>
                <w:lang w:val="pl-PL"/>
              </w:rPr>
            </w:pPr>
            <w:r w:rsidRPr="006672C5">
              <w:rPr>
                <w:rFonts w:ascii="Calibri" w:eastAsia="Calibri" w:hAnsi="Calibri" w:cs="Calibri"/>
                <w:sz w:val="22"/>
                <w:szCs w:val="22"/>
                <w:lang w:val="pl"/>
              </w:rPr>
              <w:t>P</w:t>
            </w:r>
            <w:r w:rsidR="008C0498" w:rsidRPr="006672C5">
              <w:rPr>
                <w:rFonts w:ascii="Calibri" w:eastAsia="Calibri" w:hAnsi="Calibri" w:cs="Calibri"/>
                <w:sz w:val="22"/>
                <w:szCs w:val="22"/>
                <w:lang w:val="pl"/>
              </w:rPr>
              <w:t xml:space="preserve">rzydział Akcji Oferowanych  </w:t>
            </w:r>
          </w:p>
        </w:tc>
      </w:tr>
      <w:tr w:rsidR="008C0498" w:rsidRPr="006672C5" w14:paraId="02997BB4" w14:textId="77777777" w:rsidTr="00673C27">
        <w:tc>
          <w:tcPr>
            <w:tcW w:w="2268" w:type="dxa"/>
            <w:shd w:val="clear" w:color="auto" w:fill="auto"/>
          </w:tcPr>
          <w:p w14:paraId="26BB795D" w14:textId="77777777" w:rsidR="008C0498" w:rsidRPr="006672C5" w:rsidRDefault="008C0498" w:rsidP="006672C5">
            <w:pPr>
              <w:pStyle w:val="GTBodyText"/>
              <w:spacing w:before="0" w:after="80"/>
              <w:rPr>
                <w:rFonts w:ascii="Calibri" w:eastAsia="Calibri" w:hAnsi="Calibri" w:cs="Calibri"/>
                <w:sz w:val="22"/>
                <w:szCs w:val="22"/>
              </w:rPr>
            </w:pPr>
            <w:r w:rsidRPr="006672C5">
              <w:rPr>
                <w:rFonts w:ascii="Calibri" w:eastAsia="Calibri" w:hAnsi="Calibri" w:cs="Calibri"/>
                <w:sz w:val="22"/>
                <w:szCs w:val="22"/>
                <w:lang w:val="pl"/>
              </w:rPr>
              <w:t>22 lipca 2021 r.</w:t>
            </w:r>
          </w:p>
        </w:tc>
        <w:tc>
          <w:tcPr>
            <w:tcW w:w="7054" w:type="dxa"/>
            <w:shd w:val="clear" w:color="auto" w:fill="auto"/>
          </w:tcPr>
          <w:p w14:paraId="012BA65A" w14:textId="77777777" w:rsidR="008C0498" w:rsidRPr="006672C5" w:rsidRDefault="00673C27" w:rsidP="006672C5">
            <w:pPr>
              <w:pStyle w:val="GTBodyText"/>
              <w:spacing w:before="0" w:after="80"/>
              <w:rPr>
                <w:rFonts w:ascii="Calibri" w:eastAsia="Calibri" w:hAnsi="Calibri" w:cs="Calibri"/>
                <w:sz w:val="22"/>
                <w:szCs w:val="22"/>
                <w:lang w:val="pl-PL"/>
              </w:rPr>
            </w:pPr>
            <w:r w:rsidRPr="006672C5">
              <w:rPr>
                <w:rFonts w:ascii="Calibri" w:eastAsia="Calibri" w:hAnsi="Calibri" w:cs="Calibri"/>
                <w:sz w:val="22"/>
                <w:szCs w:val="22"/>
                <w:lang w:val="pl"/>
              </w:rPr>
              <w:t>Z</w:t>
            </w:r>
            <w:r w:rsidR="008C0498" w:rsidRPr="006672C5">
              <w:rPr>
                <w:rFonts w:ascii="Calibri" w:eastAsia="Calibri" w:hAnsi="Calibri" w:cs="Calibri"/>
                <w:sz w:val="22"/>
                <w:szCs w:val="22"/>
                <w:lang w:val="pl"/>
              </w:rPr>
              <w:t>akładany pierwszy dzień notowania Praw do Akcji Oferowanych na GPW</w:t>
            </w:r>
          </w:p>
        </w:tc>
      </w:tr>
    </w:tbl>
    <w:p w14:paraId="552B53ED" w14:textId="29A8A5CD" w:rsidR="000402F0" w:rsidRDefault="000402F0" w:rsidP="00673C27">
      <w:pPr>
        <w:pStyle w:val="Default"/>
        <w:spacing w:after="100" w:afterAutospacing="1" w:line="276" w:lineRule="auto"/>
        <w:jc w:val="both"/>
        <w:rPr>
          <w:sz w:val="22"/>
          <w:szCs w:val="22"/>
          <w:lang w:eastAsia="pl-PL"/>
        </w:rPr>
      </w:pPr>
    </w:p>
    <w:p w14:paraId="45ED72D4" w14:textId="4C6EFE1B" w:rsidR="00305CAC" w:rsidRPr="006672C5" w:rsidRDefault="00305CAC" w:rsidP="00673C27">
      <w:pPr>
        <w:pStyle w:val="Default"/>
        <w:spacing w:after="100" w:afterAutospacing="1" w:line="276" w:lineRule="auto"/>
        <w:jc w:val="both"/>
        <w:rPr>
          <w:sz w:val="22"/>
          <w:szCs w:val="22"/>
          <w:lang w:eastAsia="pl-PL"/>
        </w:rPr>
      </w:pPr>
      <w:r>
        <w:rPr>
          <w:sz w:val="22"/>
          <w:szCs w:val="22"/>
          <w:lang w:eastAsia="pl-PL"/>
        </w:rPr>
        <w:t>Po zakończeniu emisji zarówno spółka, jak i główny akcjonariusz będą objęci umowami zakazu sprzedaży akcji przez okres co najmniej 1 roku od pierwszego notowania nowych akcji.</w:t>
      </w:r>
    </w:p>
    <w:p w14:paraId="7A3F7E86" w14:textId="7BC20A88" w:rsidR="006953D2" w:rsidRPr="00673C27" w:rsidRDefault="000402F0" w:rsidP="006953D2">
      <w:pPr>
        <w:pStyle w:val="Default"/>
        <w:spacing w:after="100" w:afterAutospacing="1"/>
        <w:jc w:val="both"/>
        <w:rPr>
          <w:sz w:val="22"/>
          <w:szCs w:val="22"/>
        </w:rPr>
      </w:pPr>
      <w:r w:rsidRPr="006672C5">
        <w:rPr>
          <w:sz w:val="22"/>
          <w:szCs w:val="22"/>
        </w:rPr>
        <w:t>Prospekt</w:t>
      </w:r>
      <w:r w:rsidR="00434B5A" w:rsidRPr="006672C5">
        <w:rPr>
          <w:sz w:val="22"/>
          <w:szCs w:val="22"/>
        </w:rPr>
        <w:t xml:space="preserve"> emisyjny</w:t>
      </w:r>
      <w:r w:rsidRPr="006672C5">
        <w:rPr>
          <w:sz w:val="22"/>
          <w:szCs w:val="22"/>
        </w:rPr>
        <w:t xml:space="preserve"> Spółki został opublikowany na stron</w:t>
      </w:r>
      <w:r w:rsidR="00A641AA">
        <w:rPr>
          <w:sz w:val="22"/>
          <w:szCs w:val="22"/>
        </w:rPr>
        <w:t>ie</w:t>
      </w:r>
      <w:r w:rsidRPr="006672C5">
        <w:rPr>
          <w:sz w:val="22"/>
          <w:szCs w:val="22"/>
        </w:rPr>
        <w:t xml:space="preserve"> internetow</w:t>
      </w:r>
      <w:r w:rsidR="00A641AA">
        <w:rPr>
          <w:sz w:val="22"/>
          <w:szCs w:val="22"/>
        </w:rPr>
        <w:t xml:space="preserve">ej </w:t>
      </w:r>
      <w:r w:rsidR="004D7B9D" w:rsidRPr="006672C5">
        <w:rPr>
          <w:sz w:val="22"/>
          <w:szCs w:val="22"/>
        </w:rPr>
        <w:t>Celon Pharma</w:t>
      </w:r>
      <w:r w:rsidR="00D26F18" w:rsidRPr="006672C5">
        <w:rPr>
          <w:sz w:val="22"/>
          <w:szCs w:val="22"/>
        </w:rPr>
        <w:t xml:space="preserve"> (</w:t>
      </w:r>
      <w:hyperlink r:id="rId14" w:history="1">
        <w:r w:rsidR="009C502B" w:rsidRPr="00FC32BE">
          <w:rPr>
            <w:rStyle w:val="Hipercze"/>
            <w:sz w:val="22"/>
            <w:szCs w:val="22"/>
          </w:rPr>
          <w:t>www.celonpharma.com</w:t>
        </w:r>
      </w:hyperlink>
      <w:r w:rsidR="00D26F18" w:rsidRPr="006672C5">
        <w:rPr>
          <w:sz w:val="22"/>
          <w:szCs w:val="22"/>
        </w:rPr>
        <w:t>)</w:t>
      </w:r>
      <w:r w:rsidRPr="006672C5">
        <w:rPr>
          <w:sz w:val="22"/>
          <w:szCs w:val="22"/>
        </w:rPr>
        <w:t>.</w:t>
      </w:r>
      <w:r w:rsidR="009C502B">
        <w:rPr>
          <w:sz w:val="22"/>
          <w:szCs w:val="22"/>
        </w:rPr>
        <w:t xml:space="preserve"> W okresie trwania Oferty publicznej prospekt emisyjny Spółki będzie również dostępny na stronach internetowych: </w:t>
      </w:r>
      <w:hyperlink r:id="rId15" w:history="1">
        <w:r w:rsidR="009C502B" w:rsidRPr="00FC32BE">
          <w:rPr>
            <w:rStyle w:val="Hipercze"/>
            <w:sz w:val="22"/>
            <w:szCs w:val="22"/>
          </w:rPr>
          <w:t>www.dmbh.pl</w:t>
        </w:r>
      </w:hyperlink>
      <w:r w:rsidR="009C502B">
        <w:rPr>
          <w:sz w:val="22"/>
          <w:szCs w:val="22"/>
        </w:rPr>
        <w:t xml:space="preserve"> (Dom Maklerski Banku Handlowego S.A.) oraz </w:t>
      </w:r>
      <w:hyperlink r:id="rId16" w:history="1">
        <w:r w:rsidR="009C502B" w:rsidRPr="00FC32BE">
          <w:rPr>
            <w:rStyle w:val="Hipercze"/>
            <w:sz w:val="22"/>
            <w:szCs w:val="22"/>
          </w:rPr>
          <w:t>www.trigon.pl</w:t>
        </w:r>
      </w:hyperlink>
      <w:r w:rsidR="009C502B">
        <w:rPr>
          <w:sz w:val="22"/>
          <w:szCs w:val="22"/>
        </w:rPr>
        <w:t xml:space="preserve"> (</w:t>
      </w:r>
      <w:proofErr w:type="spellStart"/>
      <w:r w:rsidR="009C502B">
        <w:rPr>
          <w:sz w:val="22"/>
          <w:szCs w:val="22"/>
        </w:rPr>
        <w:t>Trigon</w:t>
      </w:r>
      <w:proofErr w:type="spellEnd"/>
      <w:r w:rsidR="009C502B">
        <w:rPr>
          <w:sz w:val="22"/>
          <w:szCs w:val="22"/>
        </w:rPr>
        <w:t xml:space="preserve"> Dom Maklerski S.A.).</w:t>
      </w:r>
      <w:r w:rsidRPr="006672C5">
        <w:rPr>
          <w:sz w:val="22"/>
          <w:szCs w:val="22"/>
        </w:rPr>
        <w:t xml:space="preserve"> Na stronie internetowej </w:t>
      </w:r>
      <w:hyperlink r:id="rId17" w:history="1">
        <w:r w:rsidR="008E0DC1" w:rsidRPr="006672C5">
          <w:rPr>
            <w:rStyle w:val="Hipercze"/>
            <w:sz w:val="22"/>
            <w:szCs w:val="22"/>
          </w:rPr>
          <w:t>www.celonpharma.com</w:t>
        </w:r>
      </w:hyperlink>
      <w:r w:rsidR="008E0DC1" w:rsidRPr="006672C5">
        <w:rPr>
          <w:sz w:val="22"/>
          <w:szCs w:val="22"/>
        </w:rPr>
        <w:t xml:space="preserve"> </w:t>
      </w:r>
      <w:r w:rsidRPr="006672C5">
        <w:rPr>
          <w:sz w:val="22"/>
          <w:szCs w:val="22"/>
        </w:rPr>
        <w:t>można znaleźć więcej informacji nt. Spół</w:t>
      </w:r>
      <w:r w:rsidR="004D7B9D" w:rsidRPr="006672C5">
        <w:rPr>
          <w:sz w:val="22"/>
          <w:szCs w:val="22"/>
        </w:rPr>
        <w:t>ki</w:t>
      </w:r>
      <w:r w:rsidR="008E0DC1" w:rsidRPr="006672C5">
        <w:rPr>
          <w:sz w:val="22"/>
          <w:szCs w:val="22"/>
        </w:rPr>
        <w:t xml:space="preserve"> oraz </w:t>
      </w:r>
      <w:r w:rsidR="004D7B9D" w:rsidRPr="006672C5">
        <w:rPr>
          <w:sz w:val="22"/>
          <w:szCs w:val="22"/>
        </w:rPr>
        <w:t>oferty publicznej</w:t>
      </w:r>
      <w:r w:rsidR="004D7B9D" w:rsidRPr="00673C27">
        <w:rPr>
          <w:sz w:val="22"/>
          <w:szCs w:val="22"/>
        </w:rPr>
        <w:t xml:space="preserve">. </w:t>
      </w:r>
    </w:p>
    <w:p w14:paraId="70E5E0F3" w14:textId="77777777" w:rsidR="00673C27" w:rsidRDefault="00673C27" w:rsidP="00673C27">
      <w:pPr>
        <w:spacing w:before="60" w:after="60"/>
        <w:jc w:val="both"/>
        <w:rPr>
          <w:rStyle w:val="Pogrubienie"/>
          <w:rFonts w:ascii="Calibri Light" w:hAnsi="Calibri Light" w:cs="Calibri Light"/>
          <w:bCs w:val="0"/>
          <w:sz w:val="24"/>
          <w:szCs w:val="24"/>
        </w:rPr>
      </w:pPr>
      <w:r>
        <w:rPr>
          <w:rStyle w:val="Pogrubienie"/>
          <w:rFonts w:ascii="Calibri Light" w:hAnsi="Calibri Light" w:cs="Calibri Light"/>
        </w:rPr>
        <w:t>O SPÓŁCE</w:t>
      </w:r>
    </w:p>
    <w:p w14:paraId="3DF3B74C" w14:textId="77777777" w:rsidR="00673C27" w:rsidRDefault="00673C27" w:rsidP="00673C27">
      <w:pPr>
        <w:spacing w:before="60" w:after="60"/>
        <w:jc w:val="both"/>
        <w:rPr>
          <w:sz w:val="16"/>
        </w:rPr>
      </w:pPr>
      <w:r>
        <w:rPr>
          <w:rFonts w:ascii="Calibri Light" w:hAnsi="Calibri Light" w:cs="Calibri Light"/>
          <w:sz w:val="16"/>
        </w:rPr>
        <w:t xml:space="preserve">Celon Pharma jest zintegrowaną firmą </w:t>
      </w:r>
      <w:proofErr w:type="spellStart"/>
      <w:r>
        <w:rPr>
          <w:rFonts w:ascii="Calibri Light" w:hAnsi="Calibri Light" w:cs="Calibri Light"/>
          <w:sz w:val="16"/>
        </w:rPr>
        <w:t>biofarmaceutyczną</w:t>
      </w:r>
      <w:proofErr w:type="spellEnd"/>
      <w:r>
        <w:rPr>
          <w:rFonts w:ascii="Calibri Light" w:hAnsi="Calibri Light" w:cs="Calibri Light"/>
          <w:sz w:val="16"/>
        </w:rPr>
        <w:t xml:space="preserve"> zajmującą się badaniami, rozwojem, wytwarzaniem oraz sprzedażą produktów farmaceutycznych. </w:t>
      </w:r>
      <w:r>
        <w:rPr>
          <w:rFonts w:ascii="Calibri Light" w:hAnsi="Calibri Light" w:cs="Calibri Light"/>
          <w:color w:val="000000"/>
          <w:sz w:val="16"/>
        </w:rPr>
        <w:t xml:space="preserve">Założona została w 2002 roku przez dr Macieja Wieczorka. </w:t>
      </w:r>
      <w:r>
        <w:rPr>
          <w:rFonts w:ascii="Calibri Light" w:hAnsi="Calibri Light" w:cs="Calibri Light"/>
          <w:sz w:val="16"/>
        </w:rPr>
        <w:t xml:space="preserve"> </w:t>
      </w:r>
      <w:r>
        <w:rPr>
          <w:rFonts w:ascii="Calibri Light" w:hAnsi="Calibri Light" w:cs="Calibri Light"/>
          <w:color w:val="000000"/>
          <w:sz w:val="16"/>
        </w:rPr>
        <w:t xml:space="preserve">Obecnie firma liczy ok. 500  pracowników. Spółka zatrudnia w obszarze badań i rozwoju ok. 160 naukowców, z których połowa posiada lub jest w trakcie zdobywania tytułów doktorskich. Spółka prowadzi </w:t>
      </w:r>
      <w:r>
        <w:rPr>
          <w:rFonts w:ascii="Calibri Light" w:hAnsi="Calibri Light" w:cs="Calibri Light"/>
          <w:color w:val="000000"/>
          <w:sz w:val="16"/>
        </w:rPr>
        <w:lastRenderedPageBreak/>
        <w:t xml:space="preserve">kilkanaście projektów rozwoju innowacyjnych leków z takich grup terapeutycznych jak onkologia, neuropsychiatria, </w:t>
      </w:r>
      <w:proofErr w:type="spellStart"/>
      <w:r>
        <w:rPr>
          <w:rFonts w:ascii="Calibri Light" w:hAnsi="Calibri Light" w:cs="Calibri Light"/>
          <w:color w:val="000000"/>
          <w:sz w:val="16"/>
        </w:rPr>
        <w:t>autoimmunologia</w:t>
      </w:r>
      <w:proofErr w:type="spellEnd"/>
      <w:r>
        <w:rPr>
          <w:rFonts w:ascii="Calibri Light" w:hAnsi="Calibri Light" w:cs="Calibri Light"/>
          <w:color w:val="000000"/>
          <w:sz w:val="16"/>
        </w:rPr>
        <w:t xml:space="preserve"> i metabolizm. </w:t>
      </w:r>
      <w:r>
        <w:rPr>
          <w:rFonts w:ascii="Calibri Light" w:hAnsi="Calibri Light" w:cs="Calibri Light"/>
          <w:sz w:val="16"/>
        </w:rPr>
        <w:t>Spółka dysponuje własnym zapleczem laboratoriów badawczo-rozwojowych dzięki czemu może rozwijać własne technologie farmaceutyczne wykorzystując posiadane zasoby laboratoryjno-sprzętowe, a także doświadczenie kadry pracowników. Posiada nowoczesny zakład wytwórczy, w którym wytwarzane są suche formy farmaceutyczne. W ciągu ostatnich lat Spółka wprowadziła na rynek produkty w następujących grupach terapeutycznych: onkologia, choroby układu nerwowego, choroby serca, terapię HIV, choroby oddechowe. Począwszy od 2007 roku Spółka  rozwija technologię wytwarzania leków wziewnych oraz kilkanaście projektów leków innowacyjnych. Od 2016 roku jest notowana na Giełdzie Papierów Wartościowych w Warszawie.</w:t>
      </w:r>
    </w:p>
    <w:p w14:paraId="49CBC38A" w14:textId="771CA354" w:rsidR="00673C27" w:rsidRPr="000B5A84" w:rsidRDefault="00673C27" w:rsidP="00673C27">
      <w:pPr>
        <w:jc w:val="right"/>
        <w:rPr>
          <w:rStyle w:val="Hipercze"/>
          <w:rFonts w:ascii="Calibri Light" w:hAnsi="Calibri Light" w:cs="Calibri Light"/>
          <w:sz w:val="12"/>
          <w:szCs w:val="18"/>
        </w:rPr>
      </w:pPr>
      <w:r>
        <w:rPr>
          <w:rFonts w:ascii="Calibri Light" w:hAnsi="Calibri Light" w:cs="Calibri Light"/>
          <w:b/>
          <w:sz w:val="16"/>
        </w:rPr>
        <w:t>Więcej informacji udziela:</w:t>
      </w:r>
      <w:r>
        <w:rPr>
          <w:rFonts w:ascii="Calibri Light" w:hAnsi="Calibri Light" w:cs="Calibri Light"/>
          <w:b/>
          <w:sz w:val="16"/>
        </w:rPr>
        <w:br/>
      </w:r>
      <w:r>
        <w:rPr>
          <w:rFonts w:ascii="Calibri Light" w:hAnsi="Calibri Light" w:cs="Calibri Light"/>
          <w:sz w:val="16"/>
        </w:rPr>
        <w:t>Małgorzata Siewierska</w:t>
      </w:r>
      <w:r>
        <w:rPr>
          <w:rFonts w:ascii="Calibri Light" w:hAnsi="Calibri Light" w:cs="Calibri Light"/>
          <w:sz w:val="16"/>
        </w:rPr>
        <w:br/>
      </w:r>
      <w:hyperlink r:id="rId18" w:history="1">
        <w:r w:rsidRPr="000B5A84">
          <w:rPr>
            <w:rStyle w:val="Hipercze"/>
            <w:rFonts w:ascii="Calibri Light" w:hAnsi="Calibri Light" w:cs="Calibri Light"/>
            <w:sz w:val="12"/>
            <w:szCs w:val="18"/>
          </w:rPr>
          <w:t>media@celonpharma.com</w:t>
        </w:r>
      </w:hyperlink>
    </w:p>
    <w:p w14:paraId="20B2BC56" w14:textId="03EFFB99" w:rsidR="000B5A84" w:rsidRPr="000B5A84" w:rsidRDefault="000B5A84" w:rsidP="00673C27">
      <w:pPr>
        <w:jc w:val="right"/>
        <w:rPr>
          <w:rStyle w:val="Hipercze"/>
          <w:rFonts w:ascii="Calibri Light" w:hAnsi="Calibri Light" w:cs="Calibri Light"/>
          <w:sz w:val="12"/>
          <w:szCs w:val="18"/>
        </w:rPr>
      </w:pPr>
    </w:p>
    <w:p w14:paraId="4A28BB0B" w14:textId="77777777" w:rsidR="000B5A84" w:rsidRPr="000B5A84" w:rsidRDefault="000B5A84" w:rsidP="000B5A84">
      <w:pPr>
        <w:spacing w:after="0" w:line="252" w:lineRule="auto"/>
        <w:jc w:val="both"/>
        <w:rPr>
          <w:rFonts w:ascii="Arial" w:hAnsi="Arial" w:cs="Arial"/>
          <w:i/>
          <w:iCs/>
          <w:sz w:val="14"/>
          <w:szCs w:val="14"/>
        </w:rPr>
      </w:pPr>
      <w:r w:rsidRPr="000B5A84">
        <w:rPr>
          <w:rFonts w:ascii="Arial" w:hAnsi="Arial" w:cs="Arial"/>
          <w:i/>
          <w:iCs/>
          <w:sz w:val="14"/>
          <w:szCs w:val="14"/>
        </w:rPr>
        <w:t xml:space="preserve">Niniejszy komunikat prasowy ma charakter wyłącznie informacyjny i w żadnym wypadku nie może stanowić podstawy do podjęcia decyzji o inwestowaniu w akcje Celon Pharma S.A. („Spółka”), a tym samym nie stanowi, ani nie jest częścią, oraz nie należy go interpretować jako ofertę, próbę pozyskania lub zaproszenie do sprzedaży lub emisji, lub ofertę, próbę pozyskania lub zaproszenie do objęcia, gwarantowania, kupna lub nabycia w inny sposób, papierów wartościowych Spółki lub którejkolwiek z jej spółek zależnych w jakiejkolwiek jurysdykcji, ani zachętę/rekomendację do podjęcia działalności inwestycyjnej w jakiejkolwiek jurysdykcji. Ani niniejszy komunikat prasowy, ani żadna jego część, ani fakt jego rozpowszechniania, nie stanowią podstawy, ani nie można na nich polegać w związku z jakąkolwiek umową, zobowiązaniem lub jakąkolwiek decyzją inwestycyjną. Prospekt sporządzony w związku z ofertą publiczną i dopuszczeniem oraz wprowadzeniem papierów wartościowych Spółki do obrotu na Giełdzie Papierów Wartościowych w Warszawie S.A jest jedynym wiążącym dokumentem zawierającym informacje o Spółce i o ofercie jej papierów wartościowych w Polsce („Oferta”). Wszelkie inwestycje związane z Ofertą powinny być realizowane wyłącznie na podstawie informacji, które będą zawarte w zatwierdzonym i opublikowanym Prospekcie oraz we wszelkich zmianach lub suplementach do Prospektu. Prospekt może zawierać informacje, które różnią się od informacji zawartych w niniejszym komunikacie prasowym. W celu zrozumienia potencjalnych </w:t>
      </w:r>
      <w:proofErr w:type="spellStart"/>
      <w:r w:rsidRPr="000B5A84">
        <w:rPr>
          <w:rFonts w:ascii="Arial" w:hAnsi="Arial" w:cs="Arial"/>
          <w:i/>
          <w:iCs/>
          <w:sz w:val="14"/>
          <w:szCs w:val="14"/>
        </w:rPr>
        <w:t>ryzyk</w:t>
      </w:r>
      <w:proofErr w:type="spellEnd"/>
      <w:r w:rsidRPr="000B5A84">
        <w:rPr>
          <w:rFonts w:ascii="Arial" w:hAnsi="Arial" w:cs="Arial"/>
          <w:i/>
          <w:iCs/>
          <w:sz w:val="14"/>
          <w:szCs w:val="14"/>
        </w:rPr>
        <w:t xml:space="preserve"> i korzyści związanych z decyzją o inwestycji w papiery wartościowe opisane w Prospekcie,</w:t>
      </w:r>
      <w:r w:rsidRPr="000B5A84" w:rsidDel="00BC51FE">
        <w:rPr>
          <w:rFonts w:ascii="Arial" w:hAnsi="Arial" w:cs="Arial"/>
          <w:i/>
          <w:iCs/>
          <w:sz w:val="14"/>
          <w:szCs w:val="14"/>
        </w:rPr>
        <w:t xml:space="preserve"> </w:t>
      </w:r>
      <w:r w:rsidRPr="000B5A84">
        <w:rPr>
          <w:rFonts w:ascii="Arial" w:hAnsi="Arial" w:cs="Arial"/>
          <w:i/>
          <w:iCs/>
          <w:sz w:val="14"/>
          <w:szCs w:val="14"/>
        </w:rPr>
        <w:t>potencjalni inwestorzy powinny zapoznać się z Prospektem przed podjęciem decyzji inwestycyjnej.</w:t>
      </w:r>
    </w:p>
    <w:p w14:paraId="179C6C84" w14:textId="77777777" w:rsidR="000B5A84" w:rsidRPr="000B5A84" w:rsidRDefault="000B5A84" w:rsidP="000B5A84">
      <w:pPr>
        <w:spacing w:after="0" w:line="252" w:lineRule="auto"/>
        <w:jc w:val="both"/>
        <w:rPr>
          <w:rFonts w:ascii="Arial" w:hAnsi="Arial" w:cs="Arial"/>
          <w:i/>
          <w:iCs/>
          <w:sz w:val="14"/>
          <w:szCs w:val="14"/>
        </w:rPr>
      </w:pPr>
    </w:p>
    <w:p w14:paraId="66FBBD6C" w14:textId="77777777" w:rsidR="000B5A84" w:rsidRPr="000B5A84" w:rsidRDefault="000B5A84" w:rsidP="000B5A84">
      <w:pPr>
        <w:spacing w:after="0" w:line="252" w:lineRule="auto"/>
        <w:jc w:val="both"/>
        <w:rPr>
          <w:rFonts w:ascii="Arial" w:hAnsi="Arial" w:cs="Arial"/>
          <w:i/>
          <w:iCs/>
          <w:sz w:val="14"/>
          <w:szCs w:val="14"/>
        </w:rPr>
      </w:pPr>
      <w:r w:rsidRPr="000B5A84">
        <w:rPr>
          <w:rFonts w:ascii="Arial" w:hAnsi="Arial" w:cs="Arial"/>
          <w:i/>
          <w:iCs/>
          <w:sz w:val="14"/>
          <w:szCs w:val="14"/>
        </w:rPr>
        <w:t xml:space="preserve">Niniejszy komunikat prasowy nie jest przeznaczony do rozpowszechniania ani wykorzystywania przez żadną osobę lub podmiot w jakiejkolwiek jurysdykcji, gdzie takie rozpowszechnienie lub wykorzystywanie byłoby sprzeczne z miejscowymi przepisami prawa lub innymi regulacjami, lub które poddałyby Spółkę lub którykolwiek z jej podmiotów powiązanych wymogom w zakresie autoryzacji, notyfikacji, koncesjonowania lub innym wymogom wynikającym z odpowiednich przepisów. Rozpowszechnianie niniejszego komunikatu prasowego oraz innych informacji związanych z Ofertą może być ograniczone przepisami prawa, a osoby, które wejdą w posiadanie jakiegokolwiek dokumentu lub innych informacji, o których mowa w niniejszym komunikacie, powinny zasięgnąć informacji o takich ograniczeniach oraz je przestrzegać. Nieprzestrzeganie wspomnianych ograniczeń może stanowić naruszenie przepisów prawa dotyczących papierów wartościowych w danej jurysdykcji. W niektórych jurysdykcjach rozpowszechnianie niniejszego komunikatu prasowego może być niezgodne z prawem. Niniejszy komunikat prasowy nie jest przeznaczony do rozpowszechniania w Stanach Zjednoczonych Ameryki, w Australii, w Kanadzie oraz w Japonii. Nabywanie papierów wartościowych, których dotyczy niniejszy komunikat prasowy może narazić inwestora na istotne ryzyko utraty całej zainwestowanej kwoty. Osoby rozważające inwestycję powinny skonsultować się z upoważnioną osobą specjalizującą się w doradztwie w tego rodzaju inwestycjach. Niniejszy materiał nie stanowi rekomendacji inwestycyjnej w rozumieniu rozporządzenia w sprawie nadużyć na rynku (Rozporządzenie (UE) nr 596/2014) oraz rozporządzenia delegowanego Komisji (UE) 2016/958 z dnia 9 marca 2016 uzupełniającego rozporządzenie w sprawie nadużyć na rynku w odniesieniu do regulacyjnych standardów technicznych dotyczących środków technicznych do celów obiektywnej prezentacji rekomendacji inwestycyjnych lub innych informacji rekomendujących lub sugerujących strategię inwestycyjna oraz ujawnienia interesów partykularnych lub wskazań konfliktów interesów. Stwierdzenia zawarte w niniejszym dokumencie mogą stanowić „stwierdzenia dotyczące przyszłości”. Stwierdzenia dotyczące przyszłości, są co do zasady rozpoznawalne poprzez użycie słów takich jak, w szczególności: „może”, „będzie”, „powinno”, „planuje”, „oczekuje”, „przewiduje”, „szacuje”, „uważa”, „zamierza”, „projekt”, „zamiar” lub „cel” lub zaprzeczenia takich słów lub użycie innych form takich słów lub porównywalnych terminów. Stwierdzenia dotyczące przyszłości oparte są na aktualnych oczekiwaniach oraz obarczone są szeregiem znanych i nieznanych czynników ryzyka, niepewności oraz innych czynników, które mogą spowodować, że faktyczna sytuacja finansowa, wyniki działalności lub osiągnięcia Spółki lub sektora, w którym prowadzi działalność, będą istotnie różne od wszelkich przyszłych sytuacji finansowych, wyników działalności lub osiągnięć, które zostały przedstawione lub wskazane w dorozumiany sposób w takich stwierdzeniach dotyczących przyszłości. Nie należy nadmiernie polegać na stwierdzeniach dotyczących przyszłości, a Spółka nie zobowiązuje się do publicznego aktualizowania ani zmieniania jakichkolwiek stwierdzeń dotyczących przyszłości, które zostały zawarte w niniejszym dokumencie, czy to w związku z pojawieniem się nowych informacji, zajściem przyszłych zdarzeń, czy z innych przyczyn. W Wielkiej Brytanii niniejszy komunikat prasowy jest rozpowszechniany tylko do i będzie przeznaczony jedynie dla „inwestorów kwalifikowanych” w rozumieniu art. 2(e) Rozporządzenia Prospektowego (Rozporządzenie (UE) 2017/1129) którzy: (i) posiadają doświadczenie zawodowe w sprawach dotyczących inwestycji i są objęci definicją „profesjonalnych inwestorów” w rozumieniu art. 19(5) zarządzenia w sprawie promocji finansowej z 2005 roku (ang. Financial Services and Markets </w:t>
      </w:r>
      <w:proofErr w:type="spellStart"/>
      <w:r w:rsidRPr="000B5A84">
        <w:rPr>
          <w:rFonts w:ascii="Arial" w:hAnsi="Arial" w:cs="Arial"/>
          <w:i/>
          <w:iCs/>
          <w:sz w:val="14"/>
          <w:szCs w:val="14"/>
        </w:rPr>
        <w:t>Act</w:t>
      </w:r>
      <w:proofErr w:type="spellEnd"/>
      <w:r w:rsidRPr="000B5A84">
        <w:rPr>
          <w:rFonts w:ascii="Arial" w:hAnsi="Arial" w:cs="Arial"/>
          <w:i/>
          <w:iCs/>
          <w:sz w:val="14"/>
          <w:szCs w:val="14"/>
        </w:rPr>
        <w:t xml:space="preserve"> 2000 (Financial </w:t>
      </w:r>
      <w:proofErr w:type="spellStart"/>
      <w:r w:rsidRPr="000B5A84">
        <w:rPr>
          <w:rFonts w:ascii="Arial" w:hAnsi="Arial" w:cs="Arial"/>
          <w:i/>
          <w:iCs/>
          <w:sz w:val="14"/>
          <w:szCs w:val="14"/>
        </w:rPr>
        <w:t>Promotion</w:t>
      </w:r>
      <w:proofErr w:type="spellEnd"/>
      <w:r w:rsidRPr="000B5A84">
        <w:rPr>
          <w:rFonts w:ascii="Arial" w:hAnsi="Arial" w:cs="Arial"/>
          <w:i/>
          <w:iCs/>
          <w:sz w:val="14"/>
          <w:szCs w:val="14"/>
        </w:rPr>
        <w:t xml:space="preserve">) Order 2005; „Zarządzenie”), lub (ii) którzy są podmiotami o wysokiej wartości netto i innymi osobami, którym tego rodzaju komunikat może być przekazany, objętymi zakresem art. 49(2)(a) do (d) Zarządzenia (wszystkie takie osoby zwane są dalej łącznie „Właściwymi Osobami”). Osoby niebędące Właściwymi Osobami nie mogą działać na podstawie ani polegać na niniejszym komunikacie prasowym. Wszelkie inwestycje lub działalność inwestycyjna, której dotyczy niniejszy komunikat są dostępne wyłącznie dla Właściwych Osób i będą realizowane wyłącznie z Właściwymi Osobami. Osoby rozpowszechniające niniejszy komunikat muszą się upewnić, że takie rozpowszechnianie jest zgodne z prawem. Papiery wartościowe będą dostępne wyłącznie dla Właściwych Osób, a wszelkie zaproszenia, oferty lub umowy objęcia, kupno lub nabycie w inny sposób takich papierów wartościowych będą kierowane do lub zawierane wyłącznie z Właściwymi Osobami. W stosunku do państw członkowskich Unii Europejskiej innych niż Wielka Brytania, niniejszy komunikat prasowy kierowany jest wyłącznie do, a papiery wartościowe, o których w nim </w:t>
      </w:r>
      <w:r w:rsidRPr="000B5A84">
        <w:rPr>
          <w:rFonts w:ascii="Arial" w:hAnsi="Arial" w:cs="Arial"/>
          <w:i/>
          <w:iCs/>
          <w:sz w:val="14"/>
          <w:szCs w:val="14"/>
        </w:rPr>
        <w:lastRenderedPageBreak/>
        <w:t xml:space="preserve">mowa, będą oferowane jedynie inwestorom kwalifikowanym w rozumieniu art. 2(e) Rozporządzenia (UE) 2017/1129, a takie osoby zwane są dalej „Inwestorami Kwalifikowanymi”) lub w innych okolicznościach podlegającym przepisom art. 1 ust. 4 Rozporządzenia Prospektowego. Przyjmuje się, że każdy taki Inwestor Kwalifikowany oświadczył i potwierdził, że papiery wartościowe nabyte przez niego w ramach Oferty nie zostały nabyte w imieniu osób innych niż Inwestorzy Kwalifikowani. Niniejszy komunikat prasowy nie stanowi oferty papierów wartościowych przeznaczonych do sprzedaży w Stanach Zjednoczonych Ameryki. Papiery wartościowe, których dotyczy niniejszy komunikat prasowy nie zostały ani nie zostaną zarejestrowane zgodnie z Amerykańską Ustawą o Papierach Wartościowych z 1933 r., ze zmianami (and. United </w:t>
      </w:r>
      <w:proofErr w:type="spellStart"/>
      <w:r w:rsidRPr="000B5A84">
        <w:rPr>
          <w:rFonts w:ascii="Arial" w:hAnsi="Arial" w:cs="Arial"/>
          <w:i/>
          <w:iCs/>
          <w:sz w:val="14"/>
          <w:szCs w:val="14"/>
        </w:rPr>
        <w:t>States</w:t>
      </w:r>
      <w:proofErr w:type="spellEnd"/>
      <w:r w:rsidRPr="000B5A84">
        <w:rPr>
          <w:rFonts w:ascii="Arial" w:hAnsi="Arial" w:cs="Arial"/>
          <w:i/>
          <w:iCs/>
          <w:sz w:val="14"/>
          <w:szCs w:val="14"/>
        </w:rPr>
        <w:t xml:space="preserve"> Securities </w:t>
      </w:r>
      <w:proofErr w:type="spellStart"/>
      <w:r w:rsidRPr="000B5A84">
        <w:rPr>
          <w:rFonts w:ascii="Arial" w:hAnsi="Arial" w:cs="Arial"/>
          <w:i/>
          <w:iCs/>
          <w:sz w:val="14"/>
          <w:szCs w:val="14"/>
        </w:rPr>
        <w:t>Act</w:t>
      </w:r>
      <w:proofErr w:type="spellEnd"/>
      <w:r w:rsidRPr="000B5A84">
        <w:rPr>
          <w:rFonts w:ascii="Arial" w:hAnsi="Arial" w:cs="Arial"/>
          <w:i/>
          <w:iCs/>
          <w:sz w:val="14"/>
          <w:szCs w:val="14"/>
        </w:rPr>
        <w:t xml:space="preserve"> of 1933, as </w:t>
      </w:r>
      <w:proofErr w:type="spellStart"/>
      <w:r w:rsidRPr="000B5A84">
        <w:rPr>
          <w:rFonts w:ascii="Arial" w:hAnsi="Arial" w:cs="Arial"/>
          <w:i/>
          <w:iCs/>
          <w:sz w:val="14"/>
          <w:szCs w:val="14"/>
        </w:rPr>
        <w:t>amended</w:t>
      </w:r>
      <w:proofErr w:type="spellEnd"/>
      <w:r w:rsidRPr="000B5A84">
        <w:rPr>
          <w:rFonts w:ascii="Arial" w:hAnsi="Arial" w:cs="Arial"/>
          <w:i/>
          <w:iCs/>
          <w:sz w:val="14"/>
          <w:szCs w:val="14"/>
        </w:rPr>
        <w:t xml:space="preserve">; „Amerykańska Ustawa o Papierach Wartościowych”) i nie mogą być oferowane ani sprzedawane na terytorium Stanów Zjednoczonych Ameryki, chyba że zostaną zarejestrowane lub będą oferowane lub sprzedawane w ramach wyjątku od wymogu rejestracyjnego przewidzianego w Amerykańskiej Ustawie o Papierach Wartościowych lub w ramach transakcji niepodlegającej wymogowi rejestracyjnemu przewidzianemu w Amerykańskiej Ustawie o Papierach Wartościowych. W Stanach Zjednoczonych Ameryki nie zostanie przeprowadzona oferta publiczna papierów wartościowych. Niniejszy komunikat nie jest skierowany do osób znajdujących się na terytorium Stanów Zjednoczonych Ameryki (w tym na terytoriach i posiadłościach Stanów Zjednoczonych Ameryki, w jakimkolwiek stanie Stanów Zjednoczonych Ameryki oraz w Dystrykcie Kolumbii) innych niż „kwalifikowani nabywcy instytucjonalni” (ang. </w:t>
      </w:r>
      <w:proofErr w:type="spellStart"/>
      <w:r w:rsidRPr="000B5A84">
        <w:rPr>
          <w:rFonts w:ascii="Arial" w:hAnsi="Arial" w:cs="Arial"/>
          <w:i/>
          <w:iCs/>
          <w:sz w:val="14"/>
          <w:szCs w:val="14"/>
        </w:rPr>
        <w:t>qualified</w:t>
      </w:r>
      <w:proofErr w:type="spellEnd"/>
      <w:r w:rsidRPr="000B5A84">
        <w:rPr>
          <w:rFonts w:ascii="Arial" w:hAnsi="Arial" w:cs="Arial"/>
          <w:i/>
          <w:iCs/>
          <w:sz w:val="14"/>
          <w:szCs w:val="14"/>
        </w:rPr>
        <w:t xml:space="preserve"> </w:t>
      </w:r>
      <w:proofErr w:type="spellStart"/>
      <w:r w:rsidRPr="000B5A84">
        <w:rPr>
          <w:rFonts w:ascii="Arial" w:hAnsi="Arial" w:cs="Arial"/>
          <w:i/>
          <w:iCs/>
          <w:sz w:val="14"/>
          <w:szCs w:val="14"/>
        </w:rPr>
        <w:t>institutional</w:t>
      </w:r>
      <w:proofErr w:type="spellEnd"/>
      <w:r w:rsidRPr="000B5A84">
        <w:rPr>
          <w:rFonts w:ascii="Arial" w:hAnsi="Arial" w:cs="Arial"/>
          <w:i/>
          <w:iCs/>
          <w:sz w:val="14"/>
          <w:szCs w:val="14"/>
        </w:rPr>
        <w:t xml:space="preserve"> </w:t>
      </w:r>
      <w:proofErr w:type="spellStart"/>
      <w:r w:rsidRPr="000B5A84">
        <w:rPr>
          <w:rFonts w:ascii="Arial" w:hAnsi="Arial" w:cs="Arial"/>
          <w:i/>
          <w:iCs/>
          <w:sz w:val="14"/>
          <w:szCs w:val="14"/>
        </w:rPr>
        <w:t>buyers</w:t>
      </w:r>
      <w:proofErr w:type="spellEnd"/>
      <w:r w:rsidRPr="000B5A84">
        <w:rPr>
          <w:rFonts w:ascii="Arial" w:hAnsi="Arial" w:cs="Arial"/>
          <w:i/>
          <w:iCs/>
          <w:sz w:val="14"/>
          <w:szCs w:val="14"/>
        </w:rPr>
        <w:t xml:space="preserve">), zgodnie z definicją tego terminu w Przepisie 144A (ang. </w:t>
      </w:r>
      <w:proofErr w:type="spellStart"/>
      <w:r w:rsidRPr="000B5A84">
        <w:rPr>
          <w:rFonts w:ascii="Arial" w:hAnsi="Arial" w:cs="Arial"/>
          <w:i/>
          <w:iCs/>
          <w:sz w:val="14"/>
          <w:szCs w:val="14"/>
        </w:rPr>
        <w:t>Rule</w:t>
      </w:r>
      <w:proofErr w:type="spellEnd"/>
      <w:r w:rsidRPr="000B5A84">
        <w:rPr>
          <w:rFonts w:ascii="Arial" w:hAnsi="Arial" w:cs="Arial"/>
          <w:i/>
          <w:iCs/>
          <w:sz w:val="14"/>
          <w:szCs w:val="14"/>
        </w:rPr>
        <w:t xml:space="preserve"> 144A) na podstawie Amerykańskiej Ustawy o Papierach Wartościowych lub na podstawie innego wyjątku od obowiązku rejestracyjnego przewidzianego w Amerykańskiej Ustawie o Papierach Wartościowych lub w ramach transakcji niepodlegającej obowiązkowi rejestracyjnemu przewidzianemu w Amerykańskiej Ustawie o Papierach Wartościowych.</w:t>
      </w:r>
    </w:p>
    <w:p w14:paraId="629EBE49" w14:textId="77777777" w:rsidR="000B5A84" w:rsidRPr="00546098" w:rsidRDefault="000B5A84" w:rsidP="000B5A84">
      <w:pPr>
        <w:spacing w:after="0" w:line="252" w:lineRule="auto"/>
        <w:jc w:val="both"/>
        <w:rPr>
          <w:rFonts w:ascii="Arial" w:hAnsi="Arial" w:cs="Arial"/>
          <w:i/>
          <w:iCs/>
          <w:sz w:val="18"/>
          <w:szCs w:val="18"/>
        </w:rPr>
      </w:pPr>
    </w:p>
    <w:p w14:paraId="7EF6DF7E" w14:textId="77777777" w:rsidR="000B5A84" w:rsidRPr="00546098" w:rsidRDefault="000B5A84" w:rsidP="000B5A84">
      <w:pPr>
        <w:pBdr>
          <w:top w:val="nil"/>
          <w:left w:val="nil"/>
          <w:bottom w:val="nil"/>
          <w:right w:val="nil"/>
          <w:between w:val="nil"/>
        </w:pBdr>
        <w:spacing w:after="0" w:line="252" w:lineRule="auto"/>
        <w:rPr>
          <w:rFonts w:ascii="Arial" w:hAnsi="Arial" w:cs="Arial"/>
          <w:i/>
          <w:iCs/>
          <w:sz w:val="18"/>
          <w:szCs w:val="18"/>
        </w:rPr>
      </w:pPr>
    </w:p>
    <w:p w14:paraId="5FE8D0F8" w14:textId="77777777" w:rsidR="000B5A84" w:rsidRDefault="000B5A84" w:rsidP="000B5A84">
      <w:pPr>
        <w:spacing w:after="0" w:line="252" w:lineRule="auto"/>
        <w:jc w:val="both"/>
        <w:rPr>
          <w:rFonts w:ascii="Arial" w:eastAsia="Arial" w:hAnsi="Arial" w:cs="Arial"/>
          <w:i/>
          <w:sz w:val="18"/>
          <w:szCs w:val="18"/>
        </w:rPr>
      </w:pPr>
    </w:p>
    <w:p w14:paraId="01A59F07" w14:textId="77777777" w:rsidR="000B5A84" w:rsidRPr="00351E24" w:rsidRDefault="000B5A84" w:rsidP="000B5A84">
      <w:pPr>
        <w:rPr>
          <w:i/>
        </w:rPr>
      </w:pPr>
    </w:p>
    <w:p w14:paraId="2893D395" w14:textId="77777777" w:rsidR="000B5A84" w:rsidRDefault="000B5A84" w:rsidP="00673C27">
      <w:pPr>
        <w:jc w:val="right"/>
        <w:rPr>
          <w:rFonts w:ascii="Calibri Light" w:hAnsi="Calibri Light" w:cs="Calibri Light"/>
          <w:b/>
        </w:rPr>
      </w:pPr>
    </w:p>
    <w:p w14:paraId="29195250" w14:textId="77777777" w:rsidR="00012814" w:rsidRPr="00012814" w:rsidRDefault="00012814" w:rsidP="006953D2">
      <w:pPr>
        <w:spacing w:after="100" w:afterAutospacing="1" w:line="240" w:lineRule="auto"/>
        <w:jc w:val="both"/>
        <w:rPr>
          <w:b/>
        </w:rPr>
      </w:pPr>
    </w:p>
    <w:p w14:paraId="4B777DFC" w14:textId="77777777" w:rsidR="002C1AE4" w:rsidRPr="009D6157" w:rsidRDefault="00154EF3" w:rsidP="006B4EDC">
      <w:pPr>
        <w:widowControl w:val="0"/>
        <w:autoSpaceDE w:val="0"/>
        <w:autoSpaceDN w:val="0"/>
        <w:adjustRightInd w:val="0"/>
        <w:spacing w:after="240" w:line="312" w:lineRule="auto"/>
        <w:jc w:val="both"/>
      </w:pPr>
      <w:r>
        <w:rPr>
          <w:b/>
        </w:rPr>
        <w:t xml:space="preserve"> </w:t>
      </w:r>
    </w:p>
    <w:sectPr w:rsidR="002C1AE4" w:rsidRPr="009D6157" w:rsidSect="00C17AC5">
      <w:type w:val="continuous"/>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C6ED" w14:textId="77777777" w:rsidR="00E0120B" w:rsidRDefault="00E0120B" w:rsidP="00950890">
      <w:pPr>
        <w:spacing w:after="0" w:line="240" w:lineRule="auto"/>
      </w:pPr>
      <w:r>
        <w:separator/>
      </w:r>
    </w:p>
  </w:endnote>
  <w:endnote w:type="continuationSeparator" w:id="0">
    <w:p w14:paraId="673F05AD" w14:textId="77777777" w:rsidR="00E0120B" w:rsidRDefault="00E0120B" w:rsidP="0095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58D1" w14:textId="77777777" w:rsidR="00C17AC5" w:rsidRPr="00923536" w:rsidRDefault="00673C27" w:rsidP="00C17AC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center"/>
      <w:rPr>
        <w:rFonts w:ascii="Calibri" w:hAnsi="Calibri" w:cs="Calibri"/>
        <w:b/>
        <w:color w:val="000000"/>
      </w:rPr>
    </w:pPr>
    <w:r>
      <w:rPr>
        <w:rFonts w:ascii="Calibri" w:hAnsi="Calibri" w:cs="Calibri"/>
        <w:b/>
        <w:color w:val="000000"/>
      </w:rPr>
      <w:t xml:space="preserve"> </w:t>
    </w:r>
  </w:p>
  <w:p w14:paraId="1EDC45B6" w14:textId="695FC4DB" w:rsidR="00DD4BFE" w:rsidRPr="00DD4BFE" w:rsidRDefault="00C15F2C" w:rsidP="00DD4BFE">
    <w:pPr>
      <w:pStyle w:val="Stopka"/>
    </w:pPr>
    <w:r w:rsidRPr="00576C1A">
      <w:rPr>
        <w:b/>
        <w:noProof/>
        <w:sz w:val="28"/>
        <w:szCs w:val="28"/>
        <w:lang w:val="en-US"/>
      </w:rPr>
      <w:drawing>
        <wp:inline distT="0" distB="0" distL="0" distR="0" wp14:anchorId="598E77DE" wp14:editId="670296CB">
          <wp:extent cx="998855" cy="537845"/>
          <wp:effectExtent l="0" t="0" r="0" b="0"/>
          <wp:docPr id="2" name="Picture 10" descr="CELON PHARMA logo CMYK-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ON PHARMA logo CMYK-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537845"/>
                  </a:xfrm>
                  <a:prstGeom prst="rect">
                    <a:avLst/>
                  </a:prstGeom>
                  <a:noFill/>
                  <a:ln>
                    <a:noFill/>
                  </a:ln>
                </pic:spPr>
              </pic:pic>
            </a:graphicData>
          </a:graphic>
        </wp:inline>
      </w:drawing>
    </w:r>
    <w:r w:rsidR="00576C1A">
      <w:rPr>
        <w:b/>
        <w:sz w:val="28"/>
        <w:szCs w:val="28"/>
      </w:rPr>
      <w:t xml:space="preserve">                                  </w:t>
    </w:r>
    <w:r w:rsidRPr="00DD4BFE">
      <w:rPr>
        <w:noProof/>
        <w:lang w:val="en-US"/>
      </w:rPr>
      <w:drawing>
        <wp:inline distT="0" distB="0" distL="0" distR="0" wp14:anchorId="49996613" wp14:editId="54116F67">
          <wp:extent cx="3179445" cy="292100"/>
          <wp:effectExtent l="0" t="0" r="0" b="0"/>
          <wp:docPr id="3" name="Picture 13" descr="Untitled-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9445" cy="29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F723" w14:textId="77777777" w:rsidR="00E0120B" w:rsidRDefault="00E0120B" w:rsidP="00950890">
      <w:pPr>
        <w:spacing w:after="0" w:line="240" w:lineRule="auto"/>
      </w:pPr>
      <w:r>
        <w:separator/>
      </w:r>
    </w:p>
  </w:footnote>
  <w:footnote w:type="continuationSeparator" w:id="0">
    <w:p w14:paraId="44F4EFF6" w14:textId="77777777" w:rsidR="00E0120B" w:rsidRDefault="00E0120B" w:rsidP="00950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D7ED" w14:textId="13678028" w:rsidR="004109BE" w:rsidRDefault="00C15F2C" w:rsidP="004109BE">
    <w:pPr>
      <w:ind w:left="-851"/>
      <w:jc w:val="right"/>
    </w:pPr>
    <w:r>
      <w:rPr>
        <w:noProof/>
        <w:lang w:val="en-US"/>
      </w:rPr>
      <w:drawing>
        <wp:inline distT="0" distB="0" distL="0" distR="0" wp14:anchorId="6D00FA47" wp14:editId="6DA2A381">
          <wp:extent cx="6781800" cy="13760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376045"/>
                  </a:xfrm>
                  <a:prstGeom prst="rect">
                    <a:avLst/>
                  </a:prstGeom>
                  <a:noFill/>
                  <a:ln>
                    <a:noFill/>
                  </a:ln>
                </pic:spPr>
              </pic:pic>
            </a:graphicData>
          </a:graphic>
        </wp:inline>
      </w:drawing>
    </w:r>
  </w:p>
  <w:p w14:paraId="2D1F89B9" w14:textId="77777777" w:rsidR="008C7547" w:rsidRPr="0038673E" w:rsidRDefault="00673C27" w:rsidP="004109BE">
    <w:pPr>
      <w:ind w:left="-851"/>
      <w:jc w:val="right"/>
      <w:rPr>
        <w:i/>
        <w:sz w:val="24"/>
        <w:szCs w:val="28"/>
      </w:rPr>
    </w:pPr>
    <w:r>
      <w:rPr>
        <w:noProof/>
        <w:sz w:val="20"/>
        <w:lang w:eastAsia="pl-PL"/>
      </w:rPr>
      <w:t xml:space="preserve"> </w:t>
    </w:r>
    <w:r w:rsidR="000C0F9B" w:rsidRPr="000C0F9B">
      <w:rPr>
        <w:noProof/>
        <w:sz w:val="20"/>
        <w:lang w:eastAsia="pl-PL"/>
      </w:rPr>
      <w:t xml:space="preserve"> </w:t>
    </w:r>
    <w:r w:rsidR="00DD4BFE" w:rsidRPr="000C0F9B">
      <w:rPr>
        <w:noProof/>
        <w:sz w:val="20"/>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424"/>
    <w:multiLevelType w:val="hybridMultilevel"/>
    <w:tmpl w:val="313AF08C"/>
    <w:lvl w:ilvl="0" w:tplc="32C63B58">
      <w:start w:val="1"/>
      <w:numFmt w:val="decimal"/>
      <w:lvlText w:val="%1)"/>
      <w:lvlJc w:val="left"/>
      <w:pPr>
        <w:ind w:left="880" w:hanging="5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82B62"/>
    <w:multiLevelType w:val="hybridMultilevel"/>
    <w:tmpl w:val="FB0208B4"/>
    <w:lvl w:ilvl="0" w:tplc="1B563CB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1F1DFB"/>
    <w:multiLevelType w:val="hybridMultilevel"/>
    <w:tmpl w:val="C0868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LewsDQxNzKyNDVX0lEKTi0uzszPAykwrAUAT68f0SwAAAA="/>
    <w:docVar w:name="APWAFVersion" w:val="5.0"/>
    <w:docVar w:name="DocStatus" w:val="true"/>
  </w:docVars>
  <w:rsids>
    <w:rsidRoot w:val="00400E63"/>
    <w:rsid w:val="00012814"/>
    <w:rsid w:val="000315F9"/>
    <w:rsid w:val="000402F0"/>
    <w:rsid w:val="00050350"/>
    <w:rsid w:val="00060F04"/>
    <w:rsid w:val="000730C3"/>
    <w:rsid w:val="000851DE"/>
    <w:rsid w:val="0008642F"/>
    <w:rsid w:val="000B5A84"/>
    <w:rsid w:val="000C0F9B"/>
    <w:rsid w:val="000C2C9E"/>
    <w:rsid w:val="000C4E20"/>
    <w:rsid w:val="000D6B58"/>
    <w:rsid w:val="000D701B"/>
    <w:rsid w:val="000F0CA0"/>
    <w:rsid w:val="000F3D52"/>
    <w:rsid w:val="00120BB5"/>
    <w:rsid w:val="001528E1"/>
    <w:rsid w:val="00154EF3"/>
    <w:rsid w:val="0018402B"/>
    <w:rsid w:val="00193B48"/>
    <w:rsid w:val="001B4F90"/>
    <w:rsid w:val="001C059F"/>
    <w:rsid w:val="001C16B7"/>
    <w:rsid w:val="001D201D"/>
    <w:rsid w:val="001D35CE"/>
    <w:rsid w:val="001D70EA"/>
    <w:rsid w:val="001E64BA"/>
    <w:rsid w:val="00227D1C"/>
    <w:rsid w:val="00230CAB"/>
    <w:rsid w:val="00251BCF"/>
    <w:rsid w:val="002605A8"/>
    <w:rsid w:val="00284484"/>
    <w:rsid w:val="00296458"/>
    <w:rsid w:val="002979C2"/>
    <w:rsid w:val="002A00D1"/>
    <w:rsid w:val="002A52C4"/>
    <w:rsid w:val="002B6BF5"/>
    <w:rsid w:val="002C0F7A"/>
    <w:rsid w:val="002C1AE4"/>
    <w:rsid w:val="002C6505"/>
    <w:rsid w:val="002E382E"/>
    <w:rsid w:val="002E51E2"/>
    <w:rsid w:val="003040BF"/>
    <w:rsid w:val="00305CAC"/>
    <w:rsid w:val="00321DB8"/>
    <w:rsid w:val="00330BE4"/>
    <w:rsid w:val="00332F99"/>
    <w:rsid w:val="003435D3"/>
    <w:rsid w:val="003668EA"/>
    <w:rsid w:val="0038673E"/>
    <w:rsid w:val="00395D55"/>
    <w:rsid w:val="00397D1F"/>
    <w:rsid w:val="003A2018"/>
    <w:rsid w:val="003B4973"/>
    <w:rsid w:val="003C2DF5"/>
    <w:rsid w:val="003C3BD7"/>
    <w:rsid w:val="003E3B48"/>
    <w:rsid w:val="00400E63"/>
    <w:rsid w:val="00401DC3"/>
    <w:rsid w:val="0040708B"/>
    <w:rsid w:val="004109BE"/>
    <w:rsid w:val="00426A3F"/>
    <w:rsid w:val="00426FD3"/>
    <w:rsid w:val="00434B5A"/>
    <w:rsid w:val="0043605D"/>
    <w:rsid w:val="00452F61"/>
    <w:rsid w:val="00453B0B"/>
    <w:rsid w:val="004556D4"/>
    <w:rsid w:val="00464381"/>
    <w:rsid w:val="0047691E"/>
    <w:rsid w:val="00491772"/>
    <w:rsid w:val="00496DCD"/>
    <w:rsid w:val="004B7568"/>
    <w:rsid w:val="004D7B9D"/>
    <w:rsid w:val="00503233"/>
    <w:rsid w:val="0051125E"/>
    <w:rsid w:val="0052189A"/>
    <w:rsid w:val="005240E7"/>
    <w:rsid w:val="005252E9"/>
    <w:rsid w:val="00535022"/>
    <w:rsid w:val="005432BE"/>
    <w:rsid w:val="0055008A"/>
    <w:rsid w:val="00552E70"/>
    <w:rsid w:val="00574A63"/>
    <w:rsid w:val="00576C1A"/>
    <w:rsid w:val="00580C25"/>
    <w:rsid w:val="005B2139"/>
    <w:rsid w:val="005B340D"/>
    <w:rsid w:val="005B3753"/>
    <w:rsid w:val="005B7ECC"/>
    <w:rsid w:val="005C2E14"/>
    <w:rsid w:val="005C38BC"/>
    <w:rsid w:val="005C5CF9"/>
    <w:rsid w:val="005D0BC5"/>
    <w:rsid w:val="005D1C1B"/>
    <w:rsid w:val="005D44C8"/>
    <w:rsid w:val="005D6DEB"/>
    <w:rsid w:val="005E5F1D"/>
    <w:rsid w:val="0061799B"/>
    <w:rsid w:val="006319B3"/>
    <w:rsid w:val="00650665"/>
    <w:rsid w:val="006672C5"/>
    <w:rsid w:val="00673C27"/>
    <w:rsid w:val="006801F4"/>
    <w:rsid w:val="00690747"/>
    <w:rsid w:val="006953D2"/>
    <w:rsid w:val="006A019B"/>
    <w:rsid w:val="006B156D"/>
    <w:rsid w:val="006B4EDC"/>
    <w:rsid w:val="006C2B49"/>
    <w:rsid w:val="006E2280"/>
    <w:rsid w:val="006F6795"/>
    <w:rsid w:val="006F7DE7"/>
    <w:rsid w:val="00751B7D"/>
    <w:rsid w:val="00757574"/>
    <w:rsid w:val="00780517"/>
    <w:rsid w:val="007A249B"/>
    <w:rsid w:val="007A6748"/>
    <w:rsid w:val="007E1F16"/>
    <w:rsid w:val="0080125C"/>
    <w:rsid w:val="0080216D"/>
    <w:rsid w:val="0081794E"/>
    <w:rsid w:val="0082090C"/>
    <w:rsid w:val="00834831"/>
    <w:rsid w:val="00836137"/>
    <w:rsid w:val="00841393"/>
    <w:rsid w:val="00843AF5"/>
    <w:rsid w:val="00850152"/>
    <w:rsid w:val="00861D82"/>
    <w:rsid w:val="0087279B"/>
    <w:rsid w:val="00897536"/>
    <w:rsid w:val="008C0498"/>
    <w:rsid w:val="008C7547"/>
    <w:rsid w:val="008D24E0"/>
    <w:rsid w:val="008E0DC1"/>
    <w:rsid w:val="008E4B8C"/>
    <w:rsid w:val="00901AF7"/>
    <w:rsid w:val="009025B1"/>
    <w:rsid w:val="0091610D"/>
    <w:rsid w:val="009177FD"/>
    <w:rsid w:val="00923536"/>
    <w:rsid w:val="0092569A"/>
    <w:rsid w:val="00926193"/>
    <w:rsid w:val="009407A3"/>
    <w:rsid w:val="00950890"/>
    <w:rsid w:val="00965A57"/>
    <w:rsid w:val="00977AAD"/>
    <w:rsid w:val="009802E5"/>
    <w:rsid w:val="00982545"/>
    <w:rsid w:val="009904D3"/>
    <w:rsid w:val="009A1493"/>
    <w:rsid w:val="009B630D"/>
    <w:rsid w:val="009B68C8"/>
    <w:rsid w:val="009C502B"/>
    <w:rsid w:val="009D056D"/>
    <w:rsid w:val="009D6157"/>
    <w:rsid w:val="009F00B7"/>
    <w:rsid w:val="00A076A0"/>
    <w:rsid w:val="00A11294"/>
    <w:rsid w:val="00A15D94"/>
    <w:rsid w:val="00A414B8"/>
    <w:rsid w:val="00A44DA6"/>
    <w:rsid w:val="00A45FAC"/>
    <w:rsid w:val="00A53F6B"/>
    <w:rsid w:val="00A63761"/>
    <w:rsid w:val="00A641AA"/>
    <w:rsid w:val="00A9683A"/>
    <w:rsid w:val="00AA0FEA"/>
    <w:rsid w:val="00AA227A"/>
    <w:rsid w:val="00AA6937"/>
    <w:rsid w:val="00AB0CC6"/>
    <w:rsid w:val="00AD70C4"/>
    <w:rsid w:val="00AE10E9"/>
    <w:rsid w:val="00AE3D84"/>
    <w:rsid w:val="00AE5EC0"/>
    <w:rsid w:val="00B037C2"/>
    <w:rsid w:val="00B050A7"/>
    <w:rsid w:val="00B06C2F"/>
    <w:rsid w:val="00B1019A"/>
    <w:rsid w:val="00B11264"/>
    <w:rsid w:val="00B51D2A"/>
    <w:rsid w:val="00B5485E"/>
    <w:rsid w:val="00B6500A"/>
    <w:rsid w:val="00B707AC"/>
    <w:rsid w:val="00BA41A1"/>
    <w:rsid w:val="00BB3B88"/>
    <w:rsid w:val="00BC1606"/>
    <w:rsid w:val="00BD7233"/>
    <w:rsid w:val="00BE1EAF"/>
    <w:rsid w:val="00BE1FAA"/>
    <w:rsid w:val="00C044DC"/>
    <w:rsid w:val="00C15F2C"/>
    <w:rsid w:val="00C17AC5"/>
    <w:rsid w:val="00C32818"/>
    <w:rsid w:val="00C42E11"/>
    <w:rsid w:val="00C50991"/>
    <w:rsid w:val="00C624C3"/>
    <w:rsid w:val="00C67E9B"/>
    <w:rsid w:val="00C75C98"/>
    <w:rsid w:val="00C93432"/>
    <w:rsid w:val="00C96DB0"/>
    <w:rsid w:val="00C974E2"/>
    <w:rsid w:val="00CB034D"/>
    <w:rsid w:val="00CB1D61"/>
    <w:rsid w:val="00CB5456"/>
    <w:rsid w:val="00CC48E9"/>
    <w:rsid w:val="00CD7BAF"/>
    <w:rsid w:val="00CF09DA"/>
    <w:rsid w:val="00CF2D76"/>
    <w:rsid w:val="00D07B95"/>
    <w:rsid w:val="00D20C73"/>
    <w:rsid w:val="00D25EDB"/>
    <w:rsid w:val="00D26F18"/>
    <w:rsid w:val="00D34081"/>
    <w:rsid w:val="00D34A6D"/>
    <w:rsid w:val="00D76124"/>
    <w:rsid w:val="00D765F1"/>
    <w:rsid w:val="00D8713D"/>
    <w:rsid w:val="00D87CDB"/>
    <w:rsid w:val="00D9403F"/>
    <w:rsid w:val="00D95D70"/>
    <w:rsid w:val="00DA1DB4"/>
    <w:rsid w:val="00DC658F"/>
    <w:rsid w:val="00DD4BFE"/>
    <w:rsid w:val="00DE7B80"/>
    <w:rsid w:val="00DF410C"/>
    <w:rsid w:val="00DF72EE"/>
    <w:rsid w:val="00E0120B"/>
    <w:rsid w:val="00E12C9D"/>
    <w:rsid w:val="00E13399"/>
    <w:rsid w:val="00E345D8"/>
    <w:rsid w:val="00E35A9E"/>
    <w:rsid w:val="00E44DA8"/>
    <w:rsid w:val="00E456CC"/>
    <w:rsid w:val="00E54489"/>
    <w:rsid w:val="00E6762E"/>
    <w:rsid w:val="00E81CBC"/>
    <w:rsid w:val="00E978C4"/>
    <w:rsid w:val="00EA4BFE"/>
    <w:rsid w:val="00EA54F2"/>
    <w:rsid w:val="00EA7407"/>
    <w:rsid w:val="00EC70F1"/>
    <w:rsid w:val="00EF5F50"/>
    <w:rsid w:val="00F01083"/>
    <w:rsid w:val="00F053ED"/>
    <w:rsid w:val="00F445C8"/>
    <w:rsid w:val="00F6335D"/>
    <w:rsid w:val="00F645A0"/>
    <w:rsid w:val="00F85902"/>
    <w:rsid w:val="00F97170"/>
    <w:rsid w:val="00FA4760"/>
    <w:rsid w:val="00FB293C"/>
    <w:rsid w:val="00FD6C47"/>
    <w:rsid w:val="00FE0C15"/>
    <w:rsid w:val="00FF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596A6"/>
  <w15:chartTrackingRefBased/>
  <w15:docId w15:val="{70240640-9480-457B-8CEB-537B1CD4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2">
    <w:name w:val="heading 2"/>
    <w:basedOn w:val="Normalny"/>
    <w:link w:val="Nagwek2Znak"/>
    <w:uiPriority w:val="9"/>
    <w:qFormat/>
    <w:rsid w:val="006C2B4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00E63"/>
    <w:pPr>
      <w:autoSpaceDE w:val="0"/>
      <w:autoSpaceDN w:val="0"/>
      <w:adjustRightInd w:val="0"/>
    </w:pPr>
    <w:rPr>
      <w:rFonts w:cs="Calibri"/>
      <w:color w:val="000000"/>
      <w:sz w:val="24"/>
      <w:szCs w:val="24"/>
      <w:lang w:eastAsia="en-US"/>
    </w:rPr>
  </w:style>
  <w:style w:type="character" w:customStyle="1" w:styleId="apple-converted-space">
    <w:name w:val="apple-converted-space"/>
    <w:basedOn w:val="Domylnaczcionkaakapitu"/>
    <w:rsid w:val="00EA7407"/>
  </w:style>
  <w:style w:type="character" w:styleId="Pogrubienie">
    <w:name w:val="Strong"/>
    <w:uiPriority w:val="22"/>
    <w:qFormat/>
    <w:rsid w:val="00296458"/>
    <w:rPr>
      <w:b/>
      <w:bCs/>
    </w:rPr>
  </w:style>
  <w:style w:type="paragraph" w:styleId="Nagwek">
    <w:name w:val="header"/>
    <w:basedOn w:val="Normalny"/>
    <w:link w:val="NagwekZnak"/>
    <w:uiPriority w:val="99"/>
    <w:unhideWhenUsed/>
    <w:rsid w:val="009508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890"/>
  </w:style>
  <w:style w:type="paragraph" w:styleId="Stopka">
    <w:name w:val="footer"/>
    <w:basedOn w:val="Normalny"/>
    <w:link w:val="StopkaZnak"/>
    <w:uiPriority w:val="99"/>
    <w:unhideWhenUsed/>
    <w:rsid w:val="009508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890"/>
  </w:style>
  <w:style w:type="character" w:styleId="Hipercze">
    <w:name w:val="Hyperlink"/>
    <w:uiPriority w:val="99"/>
    <w:unhideWhenUsed/>
    <w:rsid w:val="002C1AE4"/>
    <w:rPr>
      <w:color w:val="0000FF"/>
      <w:u w:val="single"/>
    </w:rPr>
  </w:style>
  <w:style w:type="table" w:styleId="Tabela-Siatka">
    <w:name w:val="Table Grid"/>
    <w:aliases w:val="Tabela - Siatka-AH,CV table"/>
    <w:basedOn w:val="Standardowy"/>
    <w:uiPriority w:val="39"/>
    <w:rsid w:val="002C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9403F"/>
    <w:rPr>
      <w:sz w:val="16"/>
      <w:szCs w:val="16"/>
    </w:rPr>
  </w:style>
  <w:style w:type="paragraph" w:styleId="Tekstkomentarza">
    <w:name w:val="annotation text"/>
    <w:basedOn w:val="Normalny"/>
    <w:link w:val="TekstkomentarzaZnak"/>
    <w:uiPriority w:val="99"/>
    <w:semiHidden/>
    <w:unhideWhenUsed/>
    <w:rsid w:val="00D9403F"/>
    <w:pPr>
      <w:spacing w:line="240" w:lineRule="auto"/>
    </w:pPr>
    <w:rPr>
      <w:sz w:val="20"/>
      <w:szCs w:val="20"/>
    </w:rPr>
  </w:style>
  <w:style w:type="character" w:customStyle="1" w:styleId="TekstkomentarzaZnak">
    <w:name w:val="Tekst komentarza Znak"/>
    <w:link w:val="Tekstkomentarza"/>
    <w:uiPriority w:val="99"/>
    <w:semiHidden/>
    <w:rsid w:val="00D9403F"/>
    <w:rPr>
      <w:sz w:val="20"/>
      <w:szCs w:val="20"/>
    </w:rPr>
  </w:style>
  <w:style w:type="paragraph" w:styleId="Tematkomentarza">
    <w:name w:val="annotation subject"/>
    <w:basedOn w:val="Tekstkomentarza"/>
    <w:next w:val="Tekstkomentarza"/>
    <w:link w:val="TematkomentarzaZnak"/>
    <w:uiPriority w:val="99"/>
    <w:semiHidden/>
    <w:unhideWhenUsed/>
    <w:rsid w:val="00D9403F"/>
    <w:rPr>
      <w:b/>
      <w:bCs/>
    </w:rPr>
  </w:style>
  <w:style w:type="character" w:customStyle="1" w:styleId="TematkomentarzaZnak">
    <w:name w:val="Temat komentarza Znak"/>
    <w:link w:val="Tematkomentarza"/>
    <w:uiPriority w:val="99"/>
    <w:semiHidden/>
    <w:rsid w:val="00D9403F"/>
    <w:rPr>
      <w:b/>
      <w:bCs/>
      <w:sz w:val="20"/>
      <w:szCs w:val="20"/>
    </w:rPr>
  </w:style>
  <w:style w:type="paragraph" w:styleId="Poprawka">
    <w:name w:val="Revision"/>
    <w:hidden/>
    <w:uiPriority w:val="99"/>
    <w:semiHidden/>
    <w:rsid w:val="00D9403F"/>
    <w:rPr>
      <w:sz w:val="22"/>
      <w:szCs w:val="22"/>
      <w:lang w:eastAsia="en-US"/>
    </w:rPr>
  </w:style>
  <w:style w:type="paragraph" w:styleId="Tekstdymka">
    <w:name w:val="Balloon Text"/>
    <w:basedOn w:val="Normalny"/>
    <w:link w:val="TekstdymkaZnak"/>
    <w:uiPriority w:val="99"/>
    <w:semiHidden/>
    <w:unhideWhenUsed/>
    <w:rsid w:val="00D940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9403F"/>
    <w:rPr>
      <w:rFonts w:ascii="Tahoma" w:hAnsi="Tahoma" w:cs="Tahoma"/>
      <w:sz w:val="16"/>
      <w:szCs w:val="16"/>
    </w:rPr>
  </w:style>
  <w:style w:type="paragraph" w:styleId="NormalnyWeb">
    <w:name w:val="Normal (Web)"/>
    <w:basedOn w:val="Normalny"/>
    <w:uiPriority w:val="99"/>
    <w:semiHidden/>
    <w:unhideWhenUsed/>
    <w:rsid w:val="001C059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C059F"/>
    <w:pPr>
      <w:widowControl w:val="0"/>
      <w:suppressAutoHyphens/>
    </w:pPr>
    <w:rPr>
      <w:rFonts w:ascii="Times New Roman" w:eastAsia="Arial" w:hAnsi="Times New Roman"/>
      <w:kern w:val="2"/>
      <w:lang w:eastAsia="ar-SA"/>
    </w:rPr>
  </w:style>
  <w:style w:type="paragraph" w:styleId="Akapitzlist">
    <w:name w:val="List Paragraph"/>
    <w:basedOn w:val="Normalny"/>
    <w:uiPriority w:val="34"/>
    <w:qFormat/>
    <w:rsid w:val="003C2DF5"/>
    <w:pPr>
      <w:ind w:left="720"/>
      <w:contextualSpacing/>
    </w:pPr>
  </w:style>
  <w:style w:type="paragraph" w:customStyle="1" w:styleId="Zrdo">
    <w:name w:val="Zródło"/>
    <w:basedOn w:val="Normalny"/>
    <w:qFormat/>
    <w:rsid w:val="006801F4"/>
    <w:pPr>
      <w:spacing w:after="120" w:line="240" w:lineRule="auto"/>
      <w:jc w:val="both"/>
    </w:pPr>
    <w:rPr>
      <w:rFonts w:ascii="Arial" w:eastAsia="Times New Roman" w:hAnsi="Arial"/>
      <w:i/>
      <w:sz w:val="16"/>
      <w:szCs w:val="20"/>
      <w:lang w:eastAsia="pl-PL"/>
    </w:rPr>
  </w:style>
  <w:style w:type="character" w:customStyle="1" w:styleId="Nagwek2Znak">
    <w:name w:val="Nagłówek 2 Znak"/>
    <w:link w:val="Nagwek2"/>
    <w:uiPriority w:val="9"/>
    <w:rsid w:val="006C2B49"/>
    <w:rPr>
      <w:rFonts w:ascii="Times New Roman" w:eastAsia="Times New Roman" w:hAnsi="Times New Roman" w:cs="Times New Roman"/>
      <w:b/>
      <w:bCs/>
      <w:sz w:val="36"/>
      <w:szCs w:val="36"/>
      <w:lang w:eastAsia="pl-PL"/>
    </w:rPr>
  </w:style>
  <w:style w:type="character" w:customStyle="1" w:styleId="st">
    <w:name w:val="st"/>
    <w:basedOn w:val="Domylnaczcionkaakapitu"/>
    <w:rsid w:val="009F00B7"/>
  </w:style>
  <w:style w:type="character" w:styleId="Uwydatnienie">
    <w:name w:val="Emphasis"/>
    <w:uiPriority w:val="20"/>
    <w:qFormat/>
    <w:rsid w:val="009F00B7"/>
    <w:rPr>
      <w:i/>
      <w:iCs/>
    </w:rPr>
  </w:style>
  <w:style w:type="table" w:styleId="Jasnecieniowanie">
    <w:name w:val="Light Shading"/>
    <w:basedOn w:val="Standardowy"/>
    <w:uiPriority w:val="60"/>
    <w:rsid w:val="00576C1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iemnalista">
    <w:name w:val="Dark List"/>
    <w:basedOn w:val="Standardowy"/>
    <w:uiPriority w:val="70"/>
    <w:rsid w:val="00576C1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redniasiatka3">
    <w:name w:val="Medium Grid 3"/>
    <w:basedOn w:val="Standardowy"/>
    <w:uiPriority w:val="69"/>
    <w:rsid w:val="00576C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redniasiatka2">
    <w:name w:val="Medium Grid 2"/>
    <w:basedOn w:val="Standardowy"/>
    <w:uiPriority w:val="68"/>
    <w:rsid w:val="00CB545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redniasiatka1akcent6">
    <w:name w:val="Medium Grid 1 Accent 6"/>
    <w:basedOn w:val="Standardowy"/>
    <w:uiPriority w:val="67"/>
    <w:rsid w:val="00CB545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Jasnecieniowanieakcent6">
    <w:name w:val="Light Shading Accent 6"/>
    <w:basedOn w:val="Standardowy"/>
    <w:uiPriority w:val="60"/>
    <w:rsid w:val="00CB545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redniasiatka2akcent6">
    <w:name w:val="Medium Grid 2 Accent 6"/>
    <w:basedOn w:val="Standardowy"/>
    <w:uiPriority w:val="68"/>
    <w:rsid w:val="00843AF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E36C0A"/>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GTBodyText">
    <w:name w:val="GT Body Text"/>
    <w:basedOn w:val="Normalny"/>
    <w:link w:val="GTBodyTextChar"/>
    <w:qFormat/>
    <w:rsid w:val="008C0498"/>
    <w:pPr>
      <w:spacing w:before="120" w:after="120" w:line="240" w:lineRule="auto"/>
      <w:jc w:val="both"/>
    </w:pPr>
    <w:rPr>
      <w:rFonts w:ascii="Times New Roman" w:eastAsia="Times New Roman" w:hAnsi="Times New Roman"/>
      <w:color w:val="000000"/>
      <w:sz w:val="20"/>
      <w:szCs w:val="20"/>
      <w:lang w:val="en-GB" w:eastAsia="pl-PL"/>
    </w:rPr>
  </w:style>
  <w:style w:type="character" w:customStyle="1" w:styleId="GTBodyTextChar">
    <w:name w:val="GT Body Text Char"/>
    <w:link w:val="GTBodyText"/>
    <w:rsid w:val="008C0498"/>
    <w:rPr>
      <w:rFonts w:ascii="Times New Roman" w:eastAsia="Times New Roman" w:hAnsi="Times New Roman"/>
      <w:color w:val="000000"/>
      <w:lang w:val="en-GB"/>
    </w:rPr>
  </w:style>
  <w:style w:type="paragraph" w:customStyle="1" w:styleId="GTOkadkaBodyText">
    <w:name w:val="GT Okładka Body Text"/>
    <w:basedOn w:val="Normalny"/>
    <w:uiPriority w:val="99"/>
    <w:qFormat/>
    <w:rsid w:val="00154EF3"/>
    <w:pPr>
      <w:spacing w:after="60" w:line="240" w:lineRule="auto"/>
      <w:jc w:val="both"/>
    </w:pPr>
    <w:rPr>
      <w:rFonts w:ascii="Times New Roman" w:eastAsia="Times New Roman" w:hAnsi="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3436">
      <w:bodyDiv w:val="1"/>
      <w:marLeft w:val="0"/>
      <w:marRight w:val="0"/>
      <w:marTop w:val="0"/>
      <w:marBottom w:val="0"/>
      <w:divBdr>
        <w:top w:val="none" w:sz="0" w:space="0" w:color="auto"/>
        <w:left w:val="none" w:sz="0" w:space="0" w:color="auto"/>
        <w:bottom w:val="none" w:sz="0" w:space="0" w:color="auto"/>
        <w:right w:val="none" w:sz="0" w:space="0" w:color="auto"/>
      </w:divBdr>
    </w:div>
    <w:div w:id="652298864">
      <w:bodyDiv w:val="1"/>
      <w:marLeft w:val="0"/>
      <w:marRight w:val="0"/>
      <w:marTop w:val="0"/>
      <w:marBottom w:val="0"/>
      <w:divBdr>
        <w:top w:val="none" w:sz="0" w:space="0" w:color="auto"/>
        <w:left w:val="none" w:sz="0" w:space="0" w:color="auto"/>
        <w:bottom w:val="none" w:sz="0" w:space="0" w:color="auto"/>
        <w:right w:val="none" w:sz="0" w:space="0" w:color="auto"/>
      </w:divBdr>
      <w:divsChild>
        <w:div w:id="1210875063">
          <w:marLeft w:val="0"/>
          <w:marRight w:val="0"/>
          <w:marTop w:val="0"/>
          <w:marBottom w:val="0"/>
          <w:divBdr>
            <w:top w:val="none" w:sz="0" w:space="0" w:color="auto"/>
            <w:left w:val="none" w:sz="0" w:space="0" w:color="auto"/>
            <w:bottom w:val="none" w:sz="0" w:space="0" w:color="auto"/>
            <w:right w:val="none" w:sz="0" w:space="0" w:color="auto"/>
          </w:divBdr>
          <w:divsChild>
            <w:div w:id="444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3764">
      <w:bodyDiv w:val="1"/>
      <w:marLeft w:val="0"/>
      <w:marRight w:val="0"/>
      <w:marTop w:val="0"/>
      <w:marBottom w:val="0"/>
      <w:divBdr>
        <w:top w:val="none" w:sz="0" w:space="0" w:color="auto"/>
        <w:left w:val="none" w:sz="0" w:space="0" w:color="auto"/>
        <w:bottom w:val="none" w:sz="0" w:space="0" w:color="auto"/>
        <w:right w:val="none" w:sz="0" w:space="0" w:color="auto"/>
      </w:divBdr>
    </w:div>
    <w:div w:id="1620261453">
      <w:bodyDiv w:val="1"/>
      <w:marLeft w:val="0"/>
      <w:marRight w:val="0"/>
      <w:marTop w:val="0"/>
      <w:marBottom w:val="0"/>
      <w:divBdr>
        <w:top w:val="none" w:sz="0" w:space="0" w:color="auto"/>
        <w:left w:val="none" w:sz="0" w:space="0" w:color="auto"/>
        <w:bottom w:val="none" w:sz="0" w:space="0" w:color="auto"/>
        <w:right w:val="none" w:sz="0" w:space="0" w:color="auto"/>
      </w:divBdr>
    </w:div>
    <w:div w:id="1650209075">
      <w:bodyDiv w:val="1"/>
      <w:marLeft w:val="0"/>
      <w:marRight w:val="0"/>
      <w:marTop w:val="0"/>
      <w:marBottom w:val="0"/>
      <w:divBdr>
        <w:top w:val="none" w:sz="0" w:space="0" w:color="auto"/>
        <w:left w:val="none" w:sz="0" w:space="0" w:color="auto"/>
        <w:bottom w:val="none" w:sz="0" w:space="0" w:color="auto"/>
        <w:right w:val="none" w:sz="0" w:space="0" w:color="auto"/>
      </w:divBdr>
    </w:div>
    <w:div w:id="1683049038">
      <w:bodyDiv w:val="1"/>
      <w:marLeft w:val="0"/>
      <w:marRight w:val="0"/>
      <w:marTop w:val="0"/>
      <w:marBottom w:val="0"/>
      <w:divBdr>
        <w:top w:val="none" w:sz="0" w:space="0" w:color="auto"/>
        <w:left w:val="none" w:sz="0" w:space="0" w:color="auto"/>
        <w:bottom w:val="none" w:sz="0" w:space="0" w:color="auto"/>
        <w:right w:val="none" w:sz="0" w:space="0" w:color="auto"/>
      </w:divBdr>
    </w:div>
    <w:div w:id="1792547975">
      <w:bodyDiv w:val="1"/>
      <w:marLeft w:val="0"/>
      <w:marRight w:val="0"/>
      <w:marTop w:val="0"/>
      <w:marBottom w:val="0"/>
      <w:divBdr>
        <w:top w:val="none" w:sz="0" w:space="0" w:color="auto"/>
        <w:left w:val="none" w:sz="0" w:space="0" w:color="auto"/>
        <w:bottom w:val="none" w:sz="0" w:space="0" w:color="auto"/>
        <w:right w:val="none" w:sz="0" w:space="0" w:color="auto"/>
      </w:divBdr>
    </w:div>
    <w:div w:id="19706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lonpharma.com" TargetMode="External"/><Relationship Id="rId18" Type="http://schemas.openxmlformats.org/officeDocument/2006/relationships/hyperlink" Target="mailto:media@celonpharm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elonpharma.com" TargetMode="External"/><Relationship Id="rId2" Type="http://schemas.openxmlformats.org/officeDocument/2006/relationships/customXml" Target="../customXml/item2.xml"/><Relationship Id="rId16" Type="http://schemas.openxmlformats.org/officeDocument/2006/relationships/hyperlink" Target="http://www.trigo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mbh.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lonpharm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CLASSIFICATIONDATETIME%">15:31 30/06/2021</XMLData>
</file>

<file path=customXml/item2.xml><?xml version="1.0" encoding="utf-8"?>
<XMLData TextToDisplay="RightsWATCHMark">8|CITI-No PII-Internal|{00000000-0000-0000-0000-000000000000}</XML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XMLData TextToDisplay="%DOCUMENTGUID%">{00000000-0000-0000-0000-000000000000}</XMLData>
</file>

<file path=customXml/itemProps1.xml><?xml version="1.0" encoding="utf-8"?>
<ds:datastoreItem xmlns:ds="http://schemas.openxmlformats.org/officeDocument/2006/customXml" ds:itemID="{CF4DABB4-F8C7-4063-A22F-3BC547A4B1DB}">
  <ds:schemaRefs/>
</ds:datastoreItem>
</file>

<file path=customXml/itemProps2.xml><?xml version="1.0" encoding="utf-8"?>
<ds:datastoreItem xmlns:ds="http://schemas.openxmlformats.org/officeDocument/2006/customXml" ds:itemID="{DB4AE96A-9D20-416F-8888-48CDE6B5A24B}">
  <ds:schemaRefs/>
</ds:datastoreItem>
</file>

<file path=customXml/itemProps3.xml><?xml version="1.0" encoding="utf-8"?>
<ds:datastoreItem xmlns:ds="http://schemas.openxmlformats.org/officeDocument/2006/customXml" ds:itemID="{356E4BF7-9A56-4C61-8129-3AD906B56E8D}">
  <ds:schemaRefs>
    <ds:schemaRef ds:uri="http://schemas.openxmlformats.org/officeDocument/2006/bibliography"/>
  </ds:schemaRefs>
</ds:datastoreItem>
</file>

<file path=customXml/itemProps4.xml><?xml version="1.0" encoding="utf-8"?>
<ds:datastoreItem xmlns:ds="http://schemas.openxmlformats.org/officeDocument/2006/customXml" ds:itemID="{E56FEC4F-0726-4869-B658-9C64CAF3F278}">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2222</Words>
  <Characters>13333</Characters>
  <Application>Microsoft Office Word</Application>
  <DocSecurity>0</DocSecurity>
  <Lines>111</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15524</CharactersWithSpaces>
  <SharedDoc>false</SharedDoc>
  <HLinks>
    <vt:vector size="12" baseType="variant">
      <vt:variant>
        <vt:i4>1966129</vt:i4>
      </vt:variant>
      <vt:variant>
        <vt:i4>3</vt:i4>
      </vt:variant>
      <vt:variant>
        <vt:i4>0</vt:i4>
      </vt:variant>
      <vt:variant>
        <vt:i4>5</vt:i4>
      </vt:variant>
      <vt:variant>
        <vt:lpwstr>mailto:media@celonpharma.com</vt:lpwstr>
      </vt:variant>
      <vt:variant>
        <vt:lpwstr/>
      </vt:variant>
      <vt:variant>
        <vt:i4>4128871</vt:i4>
      </vt:variant>
      <vt:variant>
        <vt:i4>0</vt:i4>
      </vt:variant>
      <vt:variant>
        <vt:i4>0</vt:i4>
      </vt:variant>
      <vt:variant>
        <vt:i4>5</vt:i4>
      </vt:variant>
      <vt:variant>
        <vt:lpwstr>http://www.celonpharma.com/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InnerCorp</dc:creator>
  <cp:keywords/>
  <cp:lastModifiedBy>Małgorzata Siewierska</cp:lastModifiedBy>
  <cp:revision>11</cp:revision>
  <cp:lastPrinted>2016-09-11T19:00:00Z</cp:lastPrinted>
  <dcterms:created xsi:type="dcterms:W3CDTF">2021-06-30T15:31:00Z</dcterms:created>
  <dcterms:modified xsi:type="dcterms:W3CDTF">2021-07-01T11:14:00Z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8|CITI-No PII-Internal|{00000000-0000-0000-0000-000000000000}</vt:lpwstr>
  </property>
</Properties>
</file>