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E1" w:rsidRPr="00F30979" w:rsidRDefault="00A856E1" w:rsidP="00A856E1">
      <w:pPr>
        <w:jc w:val="both"/>
        <w:rPr>
          <w:rFonts w:ascii="Times New Roman" w:hAnsi="Times New Roman" w:cs="Times New Roman"/>
          <w:b/>
        </w:rPr>
      </w:pPr>
      <w:r w:rsidRPr="00F30979">
        <w:rPr>
          <w:rFonts w:ascii="Times New Roman" w:hAnsi="Times New Roman" w:cs="Times New Roman"/>
          <w:b/>
        </w:rPr>
        <w:t xml:space="preserve">FORMULARZ POZWALAJĄCY NA WYKONYWANIE PRAWA GŁOSU PRZEZ PEŁNOMOCNIKA NA ZWYCZAJNYM WALNYM ZGROMADZENIU  CELON PHARMA S.A. Z SIEDZIBĄ W KIEŁPINIE  W DNIU </w:t>
      </w:r>
      <w:r>
        <w:rPr>
          <w:rFonts w:ascii="Times New Roman" w:hAnsi="Times New Roman" w:cs="Times New Roman"/>
          <w:b/>
        </w:rPr>
        <w:t>22 CZERWCA 2022</w:t>
      </w:r>
      <w:r w:rsidRPr="00F30979">
        <w:rPr>
          <w:rFonts w:ascii="Times New Roman" w:hAnsi="Times New Roman" w:cs="Times New Roman"/>
          <w:b/>
        </w:rPr>
        <w:t xml:space="preserve"> ROKU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 xml:space="preserve">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 xml:space="preserve">Formularz zawiera proponowaną treść każdej uchwały oraz umożliwia: </w:t>
      </w:r>
    </w:p>
    <w:p w:rsidR="00A856E1" w:rsidRPr="00F30979" w:rsidRDefault="00A856E1" w:rsidP="00A856E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 xml:space="preserve">• identyfikację akcjonariusza oddającego głos oraz jego pełnomocnika, </w:t>
      </w:r>
    </w:p>
    <w:p w:rsidR="00A856E1" w:rsidRPr="00F30979" w:rsidRDefault="00A856E1" w:rsidP="00A856E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 xml:space="preserve">• oddanie głosu, </w:t>
      </w:r>
    </w:p>
    <w:p w:rsidR="00A856E1" w:rsidRPr="00F30979" w:rsidRDefault="00A856E1" w:rsidP="00A856E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 xml:space="preserve">• złożenie sprzeciwu przez akcjonariuszy głosujących przeciwko uchwale, </w:t>
      </w:r>
    </w:p>
    <w:p w:rsidR="00A856E1" w:rsidRPr="00F30979" w:rsidRDefault="00A856E1" w:rsidP="00A856E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>• zamieszczenie instrukcji dotyczącej sposobu głosowania w odniesieniu do każdej z uchwał, nad którą głosować ma pełnomocnik.</w:t>
      </w:r>
    </w:p>
    <w:p w:rsidR="00A856E1" w:rsidRPr="00F30979" w:rsidRDefault="00A856E1" w:rsidP="00A856E1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A856E1" w:rsidRPr="00F30979" w:rsidRDefault="00A856E1" w:rsidP="00A856E1">
      <w:pPr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 xml:space="preserve">Akcjonariusz wydaje pełnomocnikowi instrukcję co do sposobu głosowania w odniesieniu do danej uchwały podejmowanej na </w:t>
      </w:r>
      <w:r>
        <w:rPr>
          <w:rFonts w:ascii="Times New Roman" w:hAnsi="Times New Roman" w:cs="Times New Roman"/>
        </w:rPr>
        <w:t>Z</w:t>
      </w:r>
      <w:r w:rsidRPr="00F30979">
        <w:rPr>
          <w:rFonts w:ascii="Times New Roman" w:hAnsi="Times New Roman" w:cs="Times New Roman"/>
        </w:rPr>
        <w:t>wyczajnym Walnym Zgromadzeniu Celon Pharma S.A. (dalej „</w:t>
      </w:r>
      <w:r>
        <w:rPr>
          <w:rFonts w:ascii="Times New Roman" w:hAnsi="Times New Roman" w:cs="Times New Roman"/>
          <w:b/>
        </w:rPr>
        <w:t>Z</w:t>
      </w:r>
      <w:r w:rsidRPr="00F30979">
        <w:rPr>
          <w:rFonts w:ascii="Times New Roman" w:hAnsi="Times New Roman" w:cs="Times New Roman"/>
          <w:b/>
        </w:rPr>
        <w:t>WZ</w:t>
      </w:r>
      <w:r w:rsidRPr="00F30979">
        <w:rPr>
          <w:rFonts w:ascii="Times New Roman" w:hAnsi="Times New Roman" w:cs="Times New Roman"/>
        </w:rPr>
        <w:t>” lub „</w:t>
      </w:r>
      <w:r>
        <w:rPr>
          <w:rFonts w:ascii="Times New Roman" w:hAnsi="Times New Roman" w:cs="Times New Roman"/>
          <w:b/>
        </w:rPr>
        <w:t>Z</w:t>
      </w:r>
      <w:r w:rsidRPr="00F30979">
        <w:rPr>
          <w:rFonts w:ascii="Times New Roman" w:hAnsi="Times New Roman" w:cs="Times New Roman"/>
          <w:b/>
        </w:rPr>
        <w:t>wyczajne Walne Zgromadzenie</w:t>
      </w:r>
      <w:r w:rsidRPr="00F30979">
        <w:rPr>
          <w:rFonts w:ascii="Times New Roman" w:hAnsi="Times New Roman" w:cs="Times New Roman"/>
        </w:rPr>
        <w:t xml:space="preserve">”) poprzez zaznaczenie odpowiedniego pola w rubrykach opisanych jako głosy: „za”, „przeciw” lub „wstrzymuje się”. W braku wskazania liczby akcji uznaje się, że pełnomocnik uprawniony jest do głosowania w sposób wskazany z wszystkich akcji posiadanych przez akcjonariusza. W przypadku zaznaczenia rubryki „Inne” — akcjonariusz powinien określić w tej rubryce instrukcji sposób wykonywania prawa głosu przez pełnomocnika.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 xml:space="preserve">Ponadto, w przypadku, gdy pełnomocnik ma głosować odmiennie z różnych akcji w obrębie reprezentowanego pakietu akcji i jednego głosowania, akcjonariusz winien we właściwe pole wpisać liczbę akcji/głosów, z których pełnomocnik ma głosować „za”, „przeciw” lub „wstrzymać się” od głosu. Błędnie wypełniony formularz bądź złożony z niezaznaczonymi polami jednoznacznie określającymi wolę pełnomocnika w danym głosowaniu, nie będzie brany w danym głosowaniu pod uwagę i uwzględniany w jego wynikach.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  <w:u w:val="single"/>
        </w:rPr>
        <w:t>Wykorzystanie niniejszego formularza zależy tylko i wyłącznie od decyzji akcjonariusza i nie jest warunkiem oddania głosu przez pełnomocnika</w:t>
      </w:r>
      <w:r w:rsidRPr="00F30979">
        <w:rPr>
          <w:rFonts w:ascii="Times New Roman" w:hAnsi="Times New Roman" w:cs="Times New Roman"/>
        </w:rPr>
        <w:t xml:space="preserve">.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 xml:space="preserve">Formularz zawiera instrukcję dotyczącą wykonywania prawa głosu przez pełnomocnika i nie zastępuje pełnomocnictwa udzielonego pełnomocnikowi przez akcjonariusza. Celon Pharma S.A. informuje, że nie będzie weryfikowała, czy pełnomocnicy wykonują prawo głosu zgodnie z instrukcjami otrzymanymi od akcjonariusza. Decydowało będzie oddanie lub nie oddanie głosu przez pełnomocnika, także w przypadku, gdy dane zachowanie pełnomocnika będzie sprzeczne z treścią instrukcji.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>W związku z tym, instrukcja głosowania nie musi być przekazana Celon Ph</w:t>
      </w:r>
      <w:r>
        <w:rPr>
          <w:rFonts w:ascii="Times New Roman" w:hAnsi="Times New Roman" w:cs="Times New Roman"/>
        </w:rPr>
        <w:t>arma S.A. lub Przewodniczącemu Z</w:t>
      </w:r>
      <w:r w:rsidRPr="00F30979">
        <w:rPr>
          <w:rFonts w:ascii="Times New Roman" w:hAnsi="Times New Roman" w:cs="Times New Roman"/>
        </w:rPr>
        <w:t>WZ. Jeżeli jednak pełnomocnik głosuje przy wykorzystaniu formularza mus</w:t>
      </w:r>
      <w:r>
        <w:rPr>
          <w:rFonts w:ascii="Times New Roman" w:hAnsi="Times New Roman" w:cs="Times New Roman"/>
        </w:rPr>
        <w:t>i go doręczyć Przewodniczącemu Z</w:t>
      </w:r>
      <w:r w:rsidRPr="00F30979">
        <w:rPr>
          <w:rFonts w:ascii="Times New Roman" w:hAnsi="Times New Roman" w:cs="Times New Roman"/>
        </w:rPr>
        <w:t xml:space="preserve">WZ najpóźniej przed zakończeniem głosowania nad uchwałą, która wedle dyspozycji akcjonariusza ma być głosowana przy jego wykorzystaniu.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informuje Z</w:t>
      </w:r>
      <w:r w:rsidRPr="00F30979">
        <w:rPr>
          <w:rFonts w:ascii="Times New Roman" w:hAnsi="Times New Roman" w:cs="Times New Roman"/>
        </w:rPr>
        <w:t>WZ Celon Pharma S.A. o oddaniu głosu przy wykorzystaniu formularza i na tej podstawie głos taki jest uwzględniany przy liczeniu ogółu głosów oddanych w głosowaniu nad daną uchwałą. Formularz wykorzystany w głosowaniu z</w:t>
      </w:r>
      <w:r>
        <w:rPr>
          <w:rFonts w:ascii="Times New Roman" w:hAnsi="Times New Roman" w:cs="Times New Roman"/>
        </w:rPr>
        <w:t>ostanie dołączony do protokołu Z</w:t>
      </w:r>
      <w:r w:rsidRPr="00F30979">
        <w:rPr>
          <w:rFonts w:ascii="Times New Roman" w:hAnsi="Times New Roman" w:cs="Times New Roman"/>
        </w:rPr>
        <w:t xml:space="preserve">WZ. Celon Pharma S.A. zwraca uwagę, iż projekty uchwał zamieszczone w niniejszej instrukcji mogą różnić się od projektów uchwał </w:t>
      </w:r>
      <w:r>
        <w:rPr>
          <w:rFonts w:ascii="Times New Roman" w:hAnsi="Times New Roman" w:cs="Times New Roman"/>
        </w:rPr>
        <w:t>poddanych pod głosowanie na Z</w:t>
      </w:r>
      <w:r w:rsidRPr="00F30979">
        <w:rPr>
          <w:rFonts w:ascii="Times New Roman" w:hAnsi="Times New Roman" w:cs="Times New Roman"/>
        </w:rPr>
        <w:t xml:space="preserve">wyczajnym Walnym Zgromadzeniu.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 xml:space="preserve">W celu uniknięcia wątpliwości co do sposobu głosowania pełnomocnika w takim przypadku, zaleca się określenie w rubryce „Inne” sposobu postępowania pełnomocnika w powyższej sytuacji.  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  <w:i/>
        </w:rPr>
      </w:pPr>
      <w:r w:rsidRPr="00F30979">
        <w:rPr>
          <w:rFonts w:ascii="Times New Roman" w:hAnsi="Times New Roman" w:cs="Times New Roman"/>
          <w:b/>
        </w:rPr>
        <w:t>DO:</w:t>
      </w:r>
      <w:r w:rsidRPr="00F30979">
        <w:rPr>
          <w:rFonts w:ascii="Times New Roman" w:hAnsi="Times New Roman" w:cs="Times New Roman"/>
        </w:rPr>
        <w:t xml:space="preserve">_______________________________________________________________________________ </w:t>
      </w:r>
      <w:r w:rsidRPr="00F30979">
        <w:rPr>
          <w:rFonts w:ascii="Times New Roman" w:hAnsi="Times New Roman" w:cs="Times New Roman"/>
          <w:i/>
        </w:rPr>
        <w:t xml:space="preserve">(imię i nazwisko/ firma/ nazwa pełnomocnika)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  <w:i/>
        </w:rPr>
      </w:pPr>
      <w:r w:rsidRPr="00F30979">
        <w:rPr>
          <w:rFonts w:ascii="Times New Roman" w:hAnsi="Times New Roman" w:cs="Times New Roman"/>
          <w:i/>
        </w:rPr>
        <w:lastRenderedPageBreak/>
        <w:t xml:space="preserve">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  <w:b/>
        </w:rPr>
      </w:pPr>
      <w:r w:rsidRPr="00F30979">
        <w:rPr>
          <w:rFonts w:ascii="Times New Roman" w:hAnsi="Times New Roman" w:cs="Times New Roman"/>
          <w:b/>
        </w:rPr>
        <w:t>AKCJONARIUSZ:</w:t>
      </w:r>
      <w:r w:rsidRPr="00F30979">
        <w:rPr>
          <w:rFonts w:ascii="Times New Roman" w:hAnsi="Times New Roman" w:cs="Times New Roman"/>
        </w:rPr>
        <w:t xml:space="preserve"> _____________________________________________________________________ </w:t>
      </w:r>
      <w:r w:rsidRPr="00F30979">
        <w:rPr>
          <w:rFonts w:ascii="Times New Roman" w:hAnsi="Times New Roman" w:cs="Times New Roman"/>
          <w:b/>
        </w:rPr>
        <w:t xml:space="preserve">(imię i nazwisko/ firma / nazwa akcjonariusza)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 xml:space="preserve"> </w:t>
      </w:r>
    </w:p>
    <w:p w:rsidR="00A856E1" w:rsidRPr="00F30979" w:rsidRDefault="00A856E1" w:rsidP="00A856E1">
      <w:pPr>
        <w:jc w:val="both"/>
        <w:rPr>
          <w:rFonts w:ascii="Times New Roman" w:hAnsi="Times New Roman" w:cs="Times New Roman"/>
        </w:rPr>
      </w:pPr>
      <w:r w:rsidRPr="00F30979">
        <w:rPr>
          <w:rFonts w:ascii="Times New Roman" w:hAnsi="Times New Roman" w:cs="Times New Roman"/>
        </w:rPr>
        <w:t xml:space="preserve"> </w:t>
      </w:r>
    </w:p>
    <w:p w:rsidR="00A856E1" w:rsidRPr="00F30979" w:rsidRDefault="00A856E1" w:rsidP="00A856E1">
      <w:pPr>
        <w:jc w:val="center"/>
        <w:rPr>
          <w:rFonts w:ascii="Times New Roman" w:hAnsi="Times New Roman" w:cs="Times New Roman"/>
          <w:b/>
        </w:rPr>
      </w:pPr>
      <w:r w:rsidRPr="00F30979">
        <w:rPr>
          <w:rFonts w:ascii="Times New Roman" w:hAnsi="Times New Roman" w:cs="Times New Roman"/>
          <w:b/>
        </w:rPr>
        <w:t xml:space="preserve">INSTRUKCJA DOTYCZĄCA WYKONYWANIA PRAWA GŁOSU PRZEZ PEŁNOMOCNIKA </w:t>
      </w:r>
    </w:p>
    <w:p w:rsidR="00A856E1" w:rsidRPr="00F30979" w:rsidRDefault="00A856E1" w:rsidP="00A856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</w:t>
      </w:r>
      <w:r w:rsidRPr="00F30979">
        <w:rPr>
          <w:rFonts w:ascii="Times New Roman" w:hAnsi="Times New Roman" w:cs="Times New Roman"/>
        </w:rPr>
        <w:t xml:space="preserve">wyczajnym Walnym Zgromadzeniu Celon Pharma S.A. z siedzibą w Kiełpinie, zwołanym na dzień 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 2022</w:t>
      </w:r>
      <w:r>
        <w:rPr>
          <w:rFonts w:ascii="Times New Roman" w:hAnsi="Times New Roman" w:cs="Times New Roman"/>
        </w:rPr>
        <w:t xml:space="preserve"> ro</w:t>
      </w:r>
      <w:r w:rsidRPr="00F30979">
        <w:rPr>
          <w:rFonts w:ascii="Times New Roman" w:hAnsi="Times New Roman" w:cs="Times New Roman"/>
        </w:rPr>
        <w:t xml:space="preserve">ku, godz. </w:t>
      </w:r>
      <w:r>
        <w:rPr>
          <w:rFonts w:ascii="Times New Roman" w:hAnsi="Times New Roman" w:cs="Times New Roman"/>
        </w:rPr>
        <w:t>10:00</w:t>
      </w:r>
      <w:r w:rsidRPr="00F30979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Kazuniu Nowym</w:t>
      </w:r>
      <w:r w:rsidRPr="00F30979">
        <w:rPr>
          <w:rFonts w:ascii="Times New Roman" w:hAnsi="Times New Roman" w:cs="Times New Roman"/>
        </w:rPr>
        <w:t xml:space="preserve"> przy ulicy </w:t>
      </w:r>
      <w:r>
        <w:rPr>
          <w:rFonts w:ascii="Times New Roman" w:hAnsi="Times New Roman" w:cs="Times New Roman"/>
        </w:rPr>
        <w:t>Marymonckiej 15</w:t>
      </w:r>
    </w:p>
    <w:p w:rsidR="003F7D36" w:rsidRDefault="00A856E1"/>
    <w:p w:rsidR="00A856E1" w:rsidRPr="00A856E1" w:rsidRDefault="00A856E1" w:rsidP="00A856E1">
      <w:pPr>
        <w:pStyle w:val="Style3"/>
        <w:widowControl/>
        <w:spacing w:before="125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1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06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wyboru Przewodniczącego Zwyczajnego Walnego Zgromadzenia</w:t>
      </w: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110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wybiera Pana / Panią [...] na Przewodniczącego Zwyczajnego Walnego Zgromadzenia.</w:t>
      </w:r>
    </w:p>
    <w:p w:rsidR="00A856E1" w:rsidRPr="00A856E1" w:rsidRDefault="00A856E1" w:rsidP="00A856E1">
      <w:pPr>
        <w:pStyle w:val="Style4"/>
        <w:widowControl/>
        <w:spacing w:before="187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62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lastRenderedPageBreak/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2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06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przyjęcia porządku obrad Zwyczajnego Walnego Zgromadzenia</w:t>
      </w: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86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before="4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postanawia przyjąć następujący porządek obrad:</w:t>
      </w:r>
    </w:p>
    <w:p w:rsidR="00A856E1" w:rsidRPr="00A856E1" w:rsidRDefault="00A856E1" w:rsidP="00A856E1">
      <w:pPr>
        <w:pStyle w:val="Style4"/>
        <w:widowControl/>
        <w:spacing w:before="4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221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Otwarcie Zwyczajnego Walnego Zgromadzenia.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221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Wybór Przewodniczącego Zwyczajnego Walnego Zgromadzenia.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221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Stwierdzenie prawidłowości zwołania Zwyczajnego Walnego Zgromadzenia i jego zdolności do podejmowania uchwał.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221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Przyjęcie porządku obrad Zwyczajnego Walnego Zgromadzenia.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221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Wybór Komisji Skrutacyjnej Zwyczajnego Walnego Zgromadzenia.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230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Rozpatrzenie sprawozdania Zarządu z działalności Spółki za rok obrotowy 2021, sprawozdania finansowego Spółki za rok obrotowy 2021, rekomendacji Zarządu w sprawie pokrycia straty oraz wypłaty dywidendy za rok obrotowy 2021.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230"/>
        </w:tabs>
        <w:autoSpaceDE w:val="0"/>
        <w:autoSpaceDN w:val="0"/>
        <w:adjustRightInd w:val="0"/>
        <w:spacing w:after="0" w:line="307" w:lineRule="exact"/>
        <w:ind w:left="221" w:right="14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Rozpatrzenie sprawozdania Rady Nadzorczej za rok obrotowy 2021 uwzględniającego wymogi Dobrych Praktyk Spółek Notowanych na GPW 2021.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230"/>
        </w:tabs>
        <w:autoSpaceDE w:val="0"/>
        <w:autoSpaceDN w:val="0"/>
        <w:adjustRightInd w:val="0"/>
        <w:spacing w:after="0" w:line="307" w:lineRule="exact"/>
        <w:ind w:left="221" w:right="5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Podjęcie uchwały w sprawie zatwierdzenia sprawozdania Zarządu z działalności Spółki za rok obrotowy 2021.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230"/>
        </w:tabs>
        <w:autoSpaceDE w:val="0"/>
        <w:autoSpaceDN w:val="0"/>
        <w:adjustRightInd w:val="0"/>
        <w:spacing w:after="0" w:line="307" w:lineRule="exact"/>
        <w:ind w:left="221" w:right="5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Podjęcie uchwały w sprawie zatwierdzenia sprawozdania finansowego Spółki za rok obrotowy 2021.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326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Podjęcie uchwały w sprawie pokrycia straty oraz wypłaty dywidendy za rok obrotowy 2021.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230"/>
        </w:tabs>
        <w:autoSpaceDE w:val="0"/>
        <w:autoSpaceDN w:val="0"/>
        <w:adjustRightInd w:val="0"/>
        <w:spacing w:after="0" w:line="307" w:lineRule="exact"/>
        <w:ind w:left="221" w:right="14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Podjęcie uchwały w sprawie zatwierdzenia sprawozdania Rady Nadzorczej za rok obrotowy 2021 uwzględniającego wymogi Dobrych Praktyk Spółek Notowanych na GPW 2021.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326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Podjęcie uchwał w sprawie udzielenia członkom Zarządu absolutorium z wykonania obowiązków w 2021 roku.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326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Podjęcie uchwał w sprawie udzielenia członkom Rady Nadzorczej absolutorium z wykonania obowiązków w 2021 roku.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326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Podjęcie uchwały w sprawie zaopiniowania „Sprawozdania o wynagrodzeniach Członków Zarządu i Rady Nadzorczej Celon Pharma S.A. za okres 01.01.2021.-31.12.2021.”.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326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A0A0A"/>
        </w:rPr>
        <w:t>Podjęcie uchwały w sprawie rozszerzenia przedmiotu działalności Spółki i dokonania zmiany Statutu Spółki</w:t>
      </w:r>
      <w:r w:rsidRPr="00A856E1">
        <w:rPr>
          <w:rFonts w:ascii="Times New Roman" w:hAnsi="Times New Roman" w:cs="Times New Roman"/>
          <w:color w:val="000000"/>
        </w:rPr>
        <w:t>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326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Wolne wnioski.</w:t>
      </w:r>
    </w:p>
    <w:p w:rsidR="00A856E1" w:rsidRPr="00A856E1" w:rsidRDefault="00A856E1" w:rsidP="00A856E1">
      <w:pPr>
        <w:widowControl w:val="0"/>
        <w:numPr>
          <w:ilvl w:val="0"/>
          <w:numId w:val="4"/>
        </w:numPr>
        <w:tabs>
          <w:tab w:val="left" w:pos="326"/>
        </w:tabs>
        <w:autoSpaceDE w:val="0"/>
        <w:autoSpaceDN w:val="0"/>
        <w:adjustRightInd w:val="0"/>
        <w:spacing w:after="0" w:line="307" w:lineRule="exact"/>
        <w:ind w:left="221"/>
        <w:jc w:val="both"/>
        <w:rPr>
          <w:rFonts w:ascii="Times New Roman" w:hAnsi="Times New Roman" w:cs="Times New Roman"/>
          <w:color w:val="000000"/>
        </w:rPr>
      </w:pPr>
      <w:r w:rsidRPr="00A856E1">
        <w:rPr>
          <w:rFonts w:ascii="Times New Roman" w:hAnsi="Times New Roman" w:cs="Times New Roman"/>
          <w:color w:val="000000"/>
        </w:rPr>
        <w:t>Zamknięcie obrad Walnego Zgromadzenia.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before="38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lastRenderedPageBreak/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24" w:after="240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3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06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wyboru Komisji Skrutacyjnej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110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powołuje w skład Komisji Skrutacyjnej:</w:t>
      </w:r>
    </w:p>
    <w:p w:rsidR="00A856E1" w:rsidRPr="00A856E1" w:rsidRDefault="00A856E1" w:rsidP="00A856E1">
      <w:pPr>
        <w:pStyle w:val="Style2"/>
        <w:widowControl/>
        <w:numPr>
          <w:ilvl w:val="0"/>
          <w:numId w:val="1"/>
        </w:numPr>
        <w:tabs>
          <w:tab w:val="left" w:pos="600"/>
        </w:tabs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Pana/</w:t>
      </w:r>
      <w:proofErr w:type="spellStart"/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ią</w:t>
      </w:r>
      <w:proofErr w:type="spellEnd"/>
      <w:r w:rsidRPr="00A856E1">
        <w:rPr>
          <w:rStyle w:val="FontStyle13"/>
          <w:rFonts w:ascii="Times New Roman" w:hAnsi="Times New Roman" w:cs="Times New Roman"/>
          <w:sz w:val="22"/>
          <w:szCs w:val="22"/>
        </w:rPr>
        <w:t xml:space="preserve"> [...],</w:t>
      </w:r>
    </w:p>
    <w:p w:rsidR="00A856E1" w:rsidRPr="00A856E1" w:rsidRDefault="00A856E1" w:rsidP="00A856E1">
      <w:pPr>
        <w:pStyle w:val="Style2"/>
        <w:widowControl/>
        <w:numPr>
          <w:ilvl w:val="0"/>
          <w:numId w:val="1"/>
        </w:numPr>
        <w:tabs>
          <w:tab w:val="left" w:pos="600"/>
        </w:tabs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Pana/</w:t>
      </w:r>
      <w:proofErr w:type="spellStart"/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ią</w:t>
      </w:r>
      <w:proofErr w:type="spellEnd"/>
      <w:r w:rsidRPr="00A856E1">
        <w:rPr>
          <w:rStyle w:val="FontStyle13"/>
          <w:rFonts w:ascii="Times New Roman" w:hAnsi="Times New Roman" w:cs="Times New Roman"/>
          <w:sz w:val="22"/>
          <w:szCs w:val="22"/>
        </w:rPr>
        <w:t xml:space="preserve"> [...],</w:t>
      </w:r>
    </w:p>
    <w:p w:rsidR="00A856E1" w:rsidRPr="00A856E1" w:rsidRDefault="00A856E1" w:rsidP="00A856E1">
      <w:pPr>
        <w:pStyle w:val="Style2"/>
        <w:widowControl/>
        <w:tabs>
          <w:tab w:val="left" w:pos="600"/>
        </w:tabs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1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Default="00A856E1" w:rsidP="00A856E1">
      <w:pPr>
        <w:pStyle w:val="Style4"/>
        <w:widowControl/>
        <w:spacing w:before="38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Default="00A856E1" w:rsidP="00A856E1">
      <w:pPr>
        <w:pStyle w:val="Style4"/>
        <w:widowControl/>
        <w:spacing w:before="38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4"/>
        <w:widowControl/>
        <w:spacing w:before="38" w:line="276" w:lineRule="auto"/>
        <w:rPr>
          <w:rStyle w:val="FontStyle13"/>
          <w:rFonts w:ascii="Times New Roman" w:hAnsi="Times New Roman" w:cs="Times New Roman"/>
          <w:sz w:val="22"/>
          <w:szCs w:val="22"/>
        </w:rPr>
        <w:sectPr w:rsidR="00A856E1" w:rsidRPr="00A856E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373" w:right="1419" w:bottom="1440" w:left="1414" w:header="708" w:footer="708" w:gutter="0"/>
          <w:cols w:space="60"/>
          <w:noEndnote/>
        </w:sectPr>
      </w:pPr>
    </w:p>
    <w:p w:rsidR="00A856E1" w:rsidRPr="00A856E1" w:rsidRDefault="00A856E1" w:rsidP="00A856E1">
      <w:pPr>
        <w:pStyle w:val="Style3"/>
        <w:widowControl/>
        <w:spacing w:before="24" w:after="240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lastRenderedPageBreak/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4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06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zatwierdzenia sprawozdania Zarządu z działalności Spółki za rok obrotowy 2021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72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Zgromadzenie, po rozpatrzeniu sprawozdania Zarządu z działalności Spółki za rok obrotowy rozpoczynający się w dniu 1 stycznia 2021 r. i kończący się w dniu 31 grudnia 2021 r., zatwierdza sprawozdanie Zarządu z działalności Spółki za rok obrotowy rozpoczynający się w dniu 1 stycznia 2021 r. i kończący się w dniu 31 grudnia 2021 r.</w:t>
      </w: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before="38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before="96" w:after="240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after="240" w:line="276" w:lineRule="auto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5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43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zatwierdzenia sprawozdania finansowego Spółki za rok obrotowy 2021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72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Zgromadzenie, po rozpatrzeniu zatwierdza sprawozdanie finansowe Spółki za rok obrotowy 2021, obejmujące w szczególności:</w:t>
      </w:r>
    </w:p>
    <w:p w:rsidR="00A856E1" w:rsidRPr="00A856E1" w:rsidRDefault="00A856E1" w:rsidP="00A856E1">
      <w:pPr>
        <w:pStyle w:val="Style2"/>
        <w:widowControl/>
        <w:numPr>
          <w:ilvl w:val="0"/>
          <w:numId w:val="2"/>
        </w:numPr>
        <w:tabs>
          <w:tab w:val="left" w:pos="216"/>
        </w:tabs>
        <w:spacing w:before="264" w:line="276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wprowadzenie do sprawozdania finansowego,</w:t>
      </w:r>
    </w:p>
    <w:p w:rsidR="00A856E1" w:rsidRPr="00A856E1" w:rsidRDefault="00A856E1" w:rsidP="00A856E1">
      <w:pPr>
        <w:pStyle w:val="Style2"/>
        <w:widowControl/>
        <w:numPr>
          <w:ilvl w:val="0"/>
          <w:numId w:val="2"/>
        </w:numPr>
        <w:tabs>
          <w:tab w:val="left" w:pos="216"/>
        </w:tabs>
        <w:spacing w:before="206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lastRenderedPageBreak/>
        <w:t>bilans sporządzony na dzień 31 grudnia 2021 roku, który po stronie aktywów i pasywów wykazuje sumy bilansowe w wysokości 707.136.845,48 zł (słownie: siedemset siedem milionów sto trzydzieści sześć tysięcy osiemset czterdzieści pięć złotych 48/100),</w:t>
      </w:r>
    </w:p>
    <w:p w:rsidR="00A856E1" w:rsidRPr="00A856E1" w:rsidRDefault="00A856E1" w:rsidP="00A856E1">
      <w:pPr>
        <w:pStyle w:val="Style2"/>
        <w:widowControl/>
        <w:numPr>
          <w:ilvl w:val="0"/>
          <w:numId w:val="2"/>
        </w:numPr>
        <w:tabs>
          <w:tab w:val="left" w:pos="216"/>
        </w:tabs>
        <w:spacing w:before="206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rachunek zysków i strat za rok obrotowy 2021, wykazujący stratę netto w wysokości  11.606.054,98 zł (słownie: jedenaście milionów sześćset sześć tysięcy pięćdziesiąt cztery złote 98/100),</w:t>
      </w:r>
    </w:p>
    <w:p w:rsidR="00A856E1" w:rsidRPr="00A856E1" w:rsidRDefault="00A856E1" w:rsidP="00A856E1">
      <w:pPr>
        <w:pStyle w:val="Style2"/>
        <w:widowControl/>
        <w:numPr>
          <w:ilvl w:val="0"/>
          <w:numId w:val="2"/>
        </w:numPr>
        <w:tabs>
          <w:tab w:val="left" w:pos="216"/>
        </w:tabs>
        <w:spacing w:before="206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rachunek przepływów pieniężnych wykazujący wzrost stanu środków pieniężnych netto o kwotę 103.818.383,14 zł (słownie: sto trzy miliony osiemset osiemnaście tysięcy złotych trzysta osiemdziesiąt trzy złote 14/100),</w:t>
      </w:r>
    </w:p>
    <w:p w:rsidR="00A856E1" w:rsidRPr="00A856E1" w:rsidRDefault="00A856E1" w:rsidP="00A856E1">
      <w:pPr>
        <w:pStyle w:val="Style2"/>
        <w:widowControl/>
        <w:numPr>
          <w:ilvl w:val="0"/>
          <w:numId w:val="2"/>
        </w:numPr>
        <w:tabs>
          <w:tab w:val="left" w:pos="216"/>
        </w:tabs>
        <w:spacing w:before="206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zestawienie zmian w kapitale własnym za okres od 1 stycznia 2021 r. do dnia 31 grudnia 2021 r. wykazujące zwiększenie kapitału własnego o kwotę 209.469.898,12 zł (słownie: dwieście dziewięć milionów czterysta sześćdziesiąt dziewięć tysięcy osiemset dziewięćdziesiąt osiem złotych 12/100 ).</w:t>
      </w: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before="10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before="10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10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6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6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pokrycia straty oraz wypłaty dywidendy za rok obrotowy 2021</w:t>
      </w: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48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postanawia, iż:</w:t>
      </w:r>
    </w:p>
    <w:p w:rsidR="00A856E1" w:rsidRPr="00A856E1" w:rsidRDefault="00A856E1" w:rsidP="00A856E1">
      <w:pPr>
        <w:pStyle w:val="Style4"/>
        <w:widowControl/>
        <w:numPr>
          <w:ilvl w:val="0"/>
          <w:numId w:val="3"/>
        </w:numPr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 xml:space="preserve"> strata netto Spółki za rok obrotowy rozpoczynający się w dniu 1 stycznia 2021 r. i kończący się w dniu 31 grudnia 2021 r. w kwocie 11.606.054,98 zł (słownie: jedenaście milionów sześćset sześć tysięcy pięćdziesiąt cztery złote 98/100) zostanie pokryta z tej części kapitału zapasowego Spółki, jaka powstała z tytułu zysków z lat ubiegłych,</w:t>
      </w:r>
    </w:p>
    <w:p w:rsidR="00A856E1" w:rsidRPr="00A856E1" w:rsidRDefault="00A856E1" w:rsidP="00A856E1">
      <w:pPr>
        <w:pStyle w:val="Style4"/>
        <w:widowControl/>
        <w:numPr>
          <w:ilvl w:val="0"/>
          <w:numId w:val="3"/>
        </w:numPr>
        <w:spacing w:line="276" w:lineRule="auto"/>
        <w:rPr>
          <w:rStyle w:val="FontStyle12"/>
          <w:rFonts w:ascii="Times New Roman" w:hAnsi="Times New Roman" w:cs="Times New Roman"/>
          <w:b w:val="0"/>
          <w:bCs w:val="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 xml:space="preserve"> Spółka wypłaci dywidendę w wysokości 0,29 zł na jedną akcję, co łącznie daje kwotę 14.798.700,00 zł (czternaście milionów siedemset dziewięćdziesiąt osiem tysięcy siedemset 00/100 zł), przy czym k</w:t>
      </w:r>
      <w:r w:rsidRPr="00A856E1">
        <w:rPr>
          <w:rFonts w:ascii="Times New Roman" w:hAnsi="Times New Roman" w:cs="Times New Roman"/>
          <w:sz w:val="22"/>
          <w:szCs w:val="22"/>
        </w:rPr>
        <w:t>wota rekomendowanej dywidendy zostanie wypłacona z tej części kapitału zapasowego, jaka powstała z tytułu zysków z lat ubiegłych i jest zgodna z wymogami Art. 348 Kodeksu Spółek Handlowych.</w:t>
      </w:r>
      <w:r w:rsidRPr="00A856E1" w:rsidDel="0093510D">
        <w:rPr>
          <w:sz w:val="22"/>
          <w:szCs w:val="22"/>
        </w:rPr>
        <w:t xml:space="preserve"> </w:t>
      </w:r>
    </w:p>
    <w:p w:rsidR="00A856E1" w:rsidRPr="00A856E1" w:rsidRDefault="00A856E1" w:rsidP="00A856E1">
      <w:pPr>
        <w:pStyle w:val="Style1"/>
        <w:widowControl/>
        <w:spacing w:before="163" w:line="276" w:lineRule="auto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b w:val="0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  <w:b w:val="0"/>
          <w:bCs w:val="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lastRenderedPageBreak/>
        <w:t>Dzień dywidendy ustala się na 1 lipca 2022 r., a termin wypłaty dywidendy na 11 lipca 2022 r.</w:t>
      </w:r>
    </w:p>
    <w:p w:rsidR="00A856E1" w:rsidRPr="00A856E1" w:rsidRDefault="00A856E1" w:rsidP="00A856E1">
      <w:pPr>
        <w:pStyle w:val="Style1"/>
        <w:widowControl/>
        <w:spacing w:before="182" w:line="276" w:lineRule="auto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b w:val="0"/>
          <w:sz w:val="22"/>
          <w:szCs w:val="22"/>
        </w:rPr>
        <w:t>§ 3.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58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W ocenie Zarządu wypłata dywidendy w ww. wysokości jest uzasadniona oraz znajduje pokrycie w posiadanych na dzień podjęcia uchwały aktywach finansowych Spółki i pozwala jednocześnie Spółce na finansowanie jej dalszego rozwoju.</w:t>
      </w:r>
    </w:p>
    <w:p w:rsidR="00A856E1" w:rsidRDefault="00A856E1" w:rsidP="00A856E1">
      <w:pPr>
        <w:pStyle w:val="Style3"/>
        <w:widowControl/>
        <w:spacing w:before="96" w:after="240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before="96" w:after="240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after="240" w:line="276" w:lineRule="auto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7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43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w sprawie </w:t>
      </w:r>
      <w:r w:rsidRPr="00A856E1">
        <w:rPr>
          <w:rFonts w:ascii="Times New Roman" w:hAnsi="Times New Roman" w:cs="Times New Roman"/>
          <w:b/>
          <w:color w:val="000000"/>
          <w:sz w:val="22"/>
          <w:szCs w:val="22"/>
        </w:rPr>
        <w:t>zatwierdzenia sprawozdania Rady Nadzorczej za rok obrotowy 2021 uwzględniającego wymogi Dobrych Praktyk Spółek Notowanych na GPW 2021.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72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1"/>
        <w:widowControl/>
        <w:spacing w:before="43" w:line="276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 xml:space="preserve">Zwyczajne Walne Zgromadzenie, po rozpatrzeniu zatwierdza sprawozdanie </w:t>
      </w:r>
      <w:r w:rsidRPr="00A856E1">
        <w:rPr>
          <w:rFonts w:ascii="Times New Roman" w:hAnsi="Times New Roman" w:cs="Times New Roman"/>
          <w:color w:val="000000"/>
          <w:sz w:val="22"/>
          <w:szCs w:val="22"/>
        </w:rPr>
        <w:t>Rady Nadzorczej za rok obrotowy 2021 uwzględniające wymogi Dobrych Praktyk Spółek Notowanych na GPW 2021.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lastRenderedPageBreak/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8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6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udzielenia absolutorium Panu Maciejowi Wieczorkowi – Prezesowi Zarządu</w:t>
      </w: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udziela absolutorium Panu Maciejowi Wieczorkowi – Prezesowi Zarządu z wykonania przez niego obowiązków w roku obrotowym 2021.</w:t>
      </w:r>
    </w:p>
    <w:p w:rsidR="00A856E1" w:rsidRPr="00A856E1" w:rsidRDefault="00A856E1" w:rsidP="00A856E1">
      <w:pPr>
        <w:pStyle w:val="Style4"/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before="38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9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6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udzielenia absolutorium Pani Iwonie Giedronowicz – Członkowi Zarządu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udziela absolutorium Pani Iwonie Giedronowicz – Członkowi Zarządu z wykonania przez nią obowiązków w roku obrotowym 2021.</w:t>
      </w:r>
    </w:p>
    <w:p w:rsidR="00A856E1" w:rsidRPr="00A856E1" w:rsidRDefault="00A856E1" w:rsidP="00A856E1">
      <w:pPr>
        <w:pStyle w:val="Style4"/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Default="00A856E1" w:rsidP="00A856E1">
      <w:pPr>
        <w:pStyle w:val="Style4"/>
        <w:widowControl/>
        <w:spacing w:before="5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Default="00A856E1" w:rsidP="00A856E1">
      <w:pPr>
        <w:pStyle w:val="Style4"/>
        <w:widowControl/>
        <w:spacing w:before="5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lastRenderedPageBreak/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4"/>
        <w:widowControl/>
        <w:spacing w:before="5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4"/>
        <w:widowControl/>
        <w:spacing w:before="5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Uchwała nr 10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6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udzielenia absolutorium Panu Jackowi Glince – Wiceprezesowi Zarządu</w:t>
      </w: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48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udziela absolutorium Panu Jackowi Glince – Wiceprezesowi Zarządu z wykonania przez niego obowiązków w roku obrotowym 2021.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before="38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lastRenderedPageBreak/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11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6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udzielenia absolutorium Pani Dorocie Zwolińskiej – Członkowi Zarządu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udziela absolutorium Pani Dorocie Zwolińskiej – Członkowi Zarządu z wykonania przez nią obowiązków w roku obrotowym 2021.</w:t>
      </w:r>
    </w:p>
    <w:p w:rsidR="00A856E1" w:rsidRPr="00A856E1" w:rsidRDefault="00A856E1" w:rsidP="00A856E1">
      <w:pPr>
        <w:pStyle w:val="Style4"/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before="5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12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1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w sprawie udzielenia absolutorium Panu Robertowi </w:t>
      </w:r>
      <w:proofErr w:type="spellStart"/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Rzemińskiemu</w:t>
      </w:r>
      <w:proofErr w:type="spellEnd"/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 – Przewodniczącemu Rady Nadzorczej 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48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 xml:space="preserve">Zwyczajne Walne Zgromadzenie udziela absolutorium Panu Robertowi </w:t>
      </w:r>
      <w:proofErr w:type="spellStart"/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Rzemińskiemu</w:t>
      </w:r>
      <w:proofErr w:type="spellEnd"/>
      <w:r w:rsidRPr="00A856E1">
        <w:rPr>
          <w:rStyle w:val="FontStyle13"/>
          <w:rFonts w:ascii="Times New Roman" w:hAnsi="Times New Roman" w:cs="Times New Roman"/>
          <w:sz w:val="22"/>
          <w:szCs w:val="22"/>
        </w:rPr>
        <w:t xml:space="preserve"> – Przewodniczącemu Rady Nadzorczej z wykonania przez niego obowiązków w roku obrotowym 2021.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before="5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4"/>
        <w:widowControl/>
        <w:spacing w:before="5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lastRenderedPageBreak/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4"/>
        <w:widowControl/>
        <w:spacing w:before="53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13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1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udzielenia absolutorium Pani Urszuli Wieczorek – Członkowi Rady Nadzorczej</w:t>
      </w: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72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udziela absolutorium Pani Urszuli Wieczorek – Członkowi Rady Nadzorczej z wykonania przez nią obowiązków w roku obrotowym 2021.</w:t>
      </w:r>
    </w:p>
    <w:p w:rsidR="00A856E1" w:rsidRPr="00A856E1" w:rsidRDefault="00A856E1" w:rsidP="00A856E1">
      <w:pPr>
        <w:pStyle w:val="Style4"/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62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lastRenderedPageBreak/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14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1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udzielenia absolutorium Panu Arturowi Wieczorkowi – Członkowi Rady Nadzorczej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72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udziela absolutorium Panu Arturowi Wieczorkowi – Członkowi Rady Nadzorczej z wykonania przez niego obowiązków w roku obrotowym 2021.</w:t>
      </w: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before="38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67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3"/>
        <w:widowControl/>
        <w:spacing w:before="67" w:line="276" w:lineRule="auto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15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1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udzielenia absolutorium Panu Krzysztofowi Kaczmarczykowi – Członkowi Rady Nadzorczej</w:t>
      </w: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72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udziela absolutorium Panu Krzysztofowi Kaczmarczykowi – Członkowi Rady Nadzorczej z wykonania przez niego obowiązków w roku obrotowym 2021.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before="5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lastRenderedPageBreak/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67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4"/>
        <w:widowControl/>
        <w:spacing w:before="53" w:line="276" w:lineRule="auto"/>
        <w:jc w:val="right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jc w:val="right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16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1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udzielenia absolutorium Panu Bogusławowi Galewskiemu – Członkowi Rady Nadzorczej</w:t>
      </w: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72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udziela absolutorium Panu Bogusławowi Galewskiemu – Członkowi Rady Nadzorczej z wykonania przez niego obowiązków w roku obrotowym 2021.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before="53"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lastRenderedPageBreak/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17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1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>w sprawie udzielenia absolutorium Panu Michałowi Kowalczewskiemu – Członkowi Rady Nadzorczej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Zwyczajne Walne Zgromadzenie udziela absolutorium Panu Michałowi Kowalczewskiemu – Członkowi Rady Nadzorczej z wykonania przez niego obowiązków w roku obrotowym 2021.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Pr="00A856E1" w:rsidRDefault="00A856E1" w:rsidP="00A856E1">
      <w:pPr>
        <w:pStyle w:val="Style4"/>
        <w:widowControl/>
        <w:spacing w:before="38" w:line="276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3"/>
        <w:widowControl/>
        <w:spacing w:before="96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A856E1">
        <w:rPr>
          <w:rStyle w:val="FontStyle11"/>
          <w:rFonts w:ascii="Times New Roman" w:hAnsi="Times New Roman" w:cs="Times New Roman"/>
          <w:sz w:val="22"/>
          <w:szCs w:val="22"/>
        </w:rPr>
        <w:t>Projekt uchwały</w:t>
      </w:r>
    </w:p>
    <w:p w:rsidR="00A856E1" w:rsidRPr="00A856E1" w:rsidRDefault="00A856E1" w:rsidP="00A856E1">
      <w:pPr>
        <w:pStyle w:val="Style1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Uchwała nr 18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Zwyczajnego Walnego Zgromadzenia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spółki pod firmą: Celon Pharma Spółka Akcyjna z siedzibą w Kiełpinie </w:t>
      </w:r>
    </w:p>
    <w:p w:rsidR="00A856E1" w:rsidRPr="00A856E1" w:rsidRDefault="00A856E1" w:rsidP="00A856E1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z dnia 22.06.2022 roku </w:t>
      </w:r>
    </w:p>
    <w:p w:rsidR="00A856E1" w:rsidRPr="00A856E1" w:rsidRDefault="00A856E1" w:rsidP="00A856E1">
      <w:pPr>
        <w:pStyle w:val="Style1"/>
        <w:widowControl/>
        <w:spacing w:before="211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2"/>
          <w:rFonts w:ascii="Times New Roman" w:hAnsi="Times New Roman" w:cs="Times New Roman"/>
          <w:sz w:val="22"/>
          <w:szCs w:val="22"/>
        </w:rPr>
        <w:t xml:space="preserve">w sprawie </w:t>
      </w:r>
      <w:r w:rsidRPr="00A856E1">
        <w:rPr>
          <w:rFonts w:ascii="Times New Roman" w:hAnsi="Times New Roman" w:cs="Times New Roman"/>
          <w:b/>
          <w:color w:val="000000"/>
          <w:sz w:val="22"/>
          <w:szCs w:val="22"/>
        </w:rPr>
        <w:t>zaopiniowania „Sprawozdania o wynagrodzeniach Członków Zarządu i Rady Nadzorczej Celon Pharma S.A. za okres 01.01.2021.-31.12.2021.”.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Style4"/>
        <w:widowControl/>
        <w:spacing w:before="53" w:line="276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1.</w:t>
      </w:r>
    </w:p>
    <w:p w:rsidR="00A856E1" w:rsidRPr="00A856E1" w:rsidRDefault="00A856E1" w:rsidP="00A856E1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 xml:space="preserve">Zwyczajne Walne Zgromadzenie po zapoznaniu się z opinią biegłego rewidenta pozytywnie opiniuje </w:t>
      </w:r>
      <w:r w:rsidRPr="00A856E1">
        <w:rPr>
          <w:rFonts w:ascii="Times New Roman" w:hAnsi="Times New Roman" w:cs="Times New Roman"/>
          <w:color w:val="000000"/>
          <w:sz w:val="22"/>
          <w:szCs w:val="22"/>
        </w:rPr>
        <w:t>„Sprawozdanie o wynagrodzeniach Członków Zarządu i Rady Nadzorczej Celon Pharma S.A. za okres 01.01.2021.-31.12.2021.”.</w:t>
      </w:r>
    </w:p>
    <w:p w:rsidR="00A856E1" w:rsidRPr="00A856E1" w:rsidRDefault="00A856E1" w:rsidP="00A856E1">
      <w:pPr>
        <w:pStyle w:val="Style4"/>
        <w:widowControl/>
        <w:spacing w:before="53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§ 2.</w:t>
      </w:r>
    </w:p>
    <w:p w:rsidR="00A856E1" w:rsidRDefault="00A856E1" w:rsidP="00A856E1">
      <w:pPr>
        <w:pStyle w:val="Style4"/>
        <w:widowControl/>
        <w:spacing w:before="38" w:line="276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A856E1">
        <w:rPr>
          <w:rStyle w:val="FontStyle13"/>
          <w:rFonts w:ascii="Times New Roman" w:hAnsi="Times New Roman" w:cs="Times New Roman"/>
          <w:sz w:val="22"/>
          <w:szCs w:val="22"/>
        </w:rPr>
        <w:t>Uchwała wchodzi w życie z chwilą jej podjęcia.</w:t>
      </w:r>
    </w:p>
    <w:p w:rsidR="00A856E1" w:rsidRDefault="00A856E1" w:rsidP="00A856E1">
      <w:pPr>
        <w:pStyle w:val="Style4"/>
        <w:widowControl/>
        <w:spacing w:before="38" w:line="276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lastRenderedPageBreak/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4"/>
        <w:widowControl/>
        <w:spacing w:before="38" w:line="276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>
      <w:pPr>
        <w:pStyle w:val="wText"/>
        <w:keepNext/>
        <w:jc w:val="center"/>
        <w:rPr>
          <w:b/>
        </w:rPr>
      </w:pPr>
      <w:r w:rsidRPr="00A856E1">
        <w:rPr>
          <w:b/>
        </w:rPr>
        <w:t>Uchwała nr 19/2021</w:t>
      </w:r>
      <w:r w:rsidRPr="00A856E1">
        <w:rPr>
          <w:b/>
        </w:rPr>
        <w:br/>
        <w:t>Zwyczajnego Walnego Zgromadzenia</w:t>
      </w:r>
    </w:p>
    <w:p w:rsidR="00A856E1" w:rsidRPr="00A856E1" w:rsidRDefault="00A856E1" w:rsidP="00A856E1">
      <w:pPr>
        <w:pStyle w:val="wText"/>
        <w:keepNext/>
        <w:jc w:val="center"/>
        <w:rPr>
          <w:b/>
        </w:rPr>
      </w:pPr>
      <w:r w:rsidRPr="00A856E1">
        <w:rPr>
          <w:b/>
        </w:rPr>
        <w:t xml:space="preserve">spółki pod firmą: Celon Pharma Spółka Akcyjna z siedzibą w Kiełpinie </w:t>
      </w:r>
      <w:r w:rsidRPr="00A856E1">
        <w:rPr>
          <w:b/>
        </w:rPr>
        <w:br/>
        <w:t>z dnia 22 czerwca 2022 r.</w:t>
      </w:r>
    </w:p>
    <w:p w:rsidR="00A856E1" w:rsidRPr="00A856E1" w:rsidRDefault="00A856E1" w:rsidP="00A856E1">
      <w:pPr>
        <w:pStyle w:val="wText"/>
        <w:keepNext/>
        <w:rPr>
          <w:b/>
          <w:i/>
        </w:rPr>
      </w:pPr>
      <w:r w:rsidRPr="00A856E1">
        <w:rPr>
          <w:b/>
          <w:i/>
        </w:rPr>
        <w:t xml:space="preserve">w sprawie rozszerzenia przedmiotu działalności Spółki i dokonania zmiany Statutu Spółki </w:t>
      </w:r>
    </w:p>
    <w:p w:rsidR="00A856E1" w:rsidRPr="00A856E1" w:rsidRDefault="00A856E1" w:rsidP="00A856E1">
      <w:pPr>
        <w:keepNext/>
        <w:tabs>
          <w:tab w:val="right" w:leader="hyphen" w:pos="9072"/>
        </w:tabs>
        <w:spacing w:line="360" w:lineRule="auto"/>
        <w:ind w:left="802" w:right="801"/>
        <w:jc w:val="center"/>
        <w:rPr>
          <w:rFonts w:ascii="Times New Roman" w:hAnsi="Times New Roman" w:cs="Times New Roman"/>
          <w:b/>
        </w:rPr>
      </w:pPr>
      <w:r w:rsidRPr="00A856E1">
        <w:rPr>
          <w:rFonts w:ascii="Times New Roman" w:hAnsi="Times New Roman" w:cs="Times New Roman"/>
          <w:b/>
        </w:rPr>
        <w:t>§1</w:t>
      </w:r>
    </w:p>
    <w:p w:rsidR="00A856E1" w:rsidRPr="00A856E1" w:rsidRDefault="00A856E1" w:rsidP="00A856E1">
      <w:pPr>
        <w:pStyle w:val="wText"/>
        <w:keepNext/>
      </w:pPr>
      <w:r w:rsidRPr="00A856E1">
        <w:t xml:space="preserve">Zwyczajne Walne Zgromadzenie niniejszym dodaje do obecnie istniejącego przedmiotu działalności Spółki następujący przedmiot działalności: </w:t>
      </w:r>
    </w:p>
    <w:p w:rsidR="00A856E1" w:rsidRPr="00A856E1" w:rsidRDefault="00A856E1" w:rsidP="00A856E1">
      <w:pPr>
        <w:pStyle w:val="wText"/>
        <w:keepNext/>
        <w:rPr>
          <w:i/>
        </w:rPr>
      </w:pPr>
      <w:r w:rsidRPr="00A856E1">
        <w:rPr>
          <w:i/>
        </w:rPr>
        <w:t xml:space="preserve">86.90.E Pozostała działalność w zakresie opieki zdrowotnej, gdzie indziej niesklasyfikowana. </w:t>
      </w:r>
    </w:p>
    <w:p w:rsidR="00A856E1" w:rsidRPr="00A856E1" w:rsidRDefault="00A856E1" w:rsidP="00A856E1">
      <w:pPr>
        <w:keepNext/>
        <w:tabs>
          <w:tab w:val="right" w:leader="hyphen" w:pos="9072"/>
        </w:tabs>
        <w:spacing w:line="360" w:lineRule="auto"/>
        <w:ind w:left="802" w:right="801"/>
        <w:jc w:val="center"/>
        <w:rPr>
          <w:rFonts w:ascii="Times New Roman" w:hAnsi="Times New Roman" w:cs="Times New Roman"/>
          <w:b/>
        </w:rPr>
      </w:pPr>
      <w:r w:rsidRPr="00A856E1">
        <w:rPr>
          <w:rFonts w:ascii="Times New Roman" w:hAnsi="Times New Roman" w:cs="Times New Roman"/>
          <w:b/>
        </w:rPr>
        <w:t>§2</w:t>
      </w:r>
    </w:p>
    <w:p w:rsidR="00A856E1" w:rsidRPr="00A856E1" w:rsidRDefault="00A856E1" w:rsidP="00A856E1">
      <w:pPr>
        <w:pStyle w:val="wText"/>
        <w:keepNext/>
      </w:pPr>
      <w:r w:rsidRPr="00A856E1">
        <w:t>W związku z rozszerzeniem przedmiotu działalności Spółki, dokonuje się zmiany § 6 ust. 1  Statutu Spółki poprzez nadanie mu następującego brzmienia:</w:t>
      </w:r>
    </w:p>
    <w:p w:rsidR="00A856E1" w:rsidRPr="00A856E1" w:rsidRDefault="00A856E1" w:rsidP="00A856E1">
      <w:pPr>
        <w:pStyle w:val="wText"/>
        <w:keepNext/>
        <w:jc w:val="center"/>
        <w:rPr>
          <w:i/>
        </w:rPr>
      </w:pPr>
      <w:r w:rsidRPr="00A856E1">
        <w:rPr>
          <w:i/>
        </w:rPr>
        <w:t>„§ 6.</w:t>
      </w:r>
    </w:p>
    <w:p w:rsidR="00A856E1" w:rsidRPr="00A856E1" w:rsidRDefault="00A856E1" w:rsidP="00A856E1">
      <w:pPr>
        <w:pStyle w:val="wText"/>
        <w:keepNext/>
        <w:rPr>
          <w:i/>
        </w:rPr>
      </w:pPr>
      <w:r w:rsidRPr="00A856E1">
        <w:rPr>
          <w:i/>
        </w:rPr>
        <w:t xml:space="preserve">1. Przedmiotem działalności spółki jest:---------------------------------------------------------------------------- </w:t>
      </w:r>
    </w:p>
    <w:p w:rsidR="00A856E1" w:rsidRPr="00A856E1" w:rsidRDefault="00A856E1" w:rsidP="00A856E1">
      <w:pPr>
        <w:pStyle w:val="wText"/>
        <w:keepNext/>
        <w:rPr>
          <w:i/>
        </w:rPr>
      </w:pPr>
      <w:r w:rsidRPr="00A856E1">
        <w:rPr>
          <w:i/>
        </w:rPr>
        <w:t xml:space="preserve">1) Produkcja leków i pozostałych wyrobów farmaceutycznych (PKD 21.20.Z), ----------------------------- </w:t>
      </w:r>
    </w:p>
    <w:p w:rsidR="00A856E1" w:rsidRPr="00A856E1" w:rsidRDefault="00A856E1" w:rsidP="00A856E1">
      <w:pPr>
        <w:pStyle w:val="wText"/>
        <w:keepNext/>
        <w:rPr>
          <w:i/>
        </w:rPr>
      </w:pPr>
      <w:r w:rsidRPr="00A856E1">
        <w:rPr>
          <w:i/>
        </w:rPr>
        <w:t xml:space="preserve">2) Badania naukowe i prace rozwojowe w dziedzinie biotechnologii (PKD 72.11.Z), ---------------------- </w:t>
      </w:r>
    </w:p>
    <w:p w:rsidR="00A856E1" w:rsidRPr="00A856E1" w:rsidRDefault="00A856E1" w:rsidP="00A856E1">
      <w:pPr>
        <w:pStyle w:val="wText"/>
        <w:keepNext/>
        <w:rPr>
          <w:i/>
        </w:rPr>
      </w:pPr>
      <w:r w:rsidRPr="00A856E1">
        <w:rPr>
          <w:i/>
        </w:rPr>
        <w:t xml:space="preserve">3) Badania naukowe i prace rozwojowe w dziedzinie pozostałych nauk przyrodniczych i technicznych (PKD 72.19), ----------------------------------------------------------------------------------------------------------- </w:t>
      </w:r>
    </w:p>
    <w:p w:rsidR="00A856E1" w:rsidRPr="00A856E1" w:rsidRDefault="00A856E1" w:rsidP="00A856E1">
      <w:pPr>
        <w:pStyle w:val="wText"/>
        <w:keepNext/>
        <w:rPr>
          <w:i/>
        </w:rPr>
      </w:pPr>
      <w:r w:rsidRPr="00A856E1">
        <w:rPr>
          <w:i/>
        </w:rPr>
        <w:t>4) Produkcja pozostałych wyrobów chemicznych, gdzie indziej niesklasyfikowana (PKD 20.59.Z), ------</w:t>
      </w:r>
    </w:p>
    <w:p w:rsidR="00A856E1" w:rsidRPr="00A856E1" w:rsidRDefault="00A856E1" w:rsidP="00A856E1">
      <w:pPr>
        <w:pStyle w:val="wText"/>
        <w:keepNext/>
        <w:rPr>
          <w:i/>
        </w:rPr>
      </w:pPr>
      <w:r w:rsidRPr="00A856E1">
        <w:rPr>
          <w:i/>
        </w:rPr>
        <w:t xml:space="preserve">5) Produkcja podstawowych substancji farmaceutycznych (PKD 21.10.Z), ---------------------------------- </w:t>
      </w:r>
    </w:p>
    <w:p w:rsidR="00A856E1" w:rsidRPr="00A856E1" w:rsidRDefault="00A856E1" w:rsidP="00A856E1">
      <w:pPr>
        <w:pStyle w:val="wText"/>
        <w:keepNext/>
        <w:rPr>
          <w:i/>
        </w:rPr>
      </w:pPr>
      <w:r w:rsidRPr="00A856E1">
        <w:rPr>
          <w:i/>
        </w:rPr>
        <w:t xml:space="preserve">6) Sprzedaż hurtowa perfum i kosmetyków (PKD 46.45.Z), -----------------------------------------------------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7) Sprzedaż hurtowa wyrobów farmaceutycznych i medycznych (PKD 46.46.Z),----------------------------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8) Sprzedaż hurtowa wyrobów chemicznych (PKD 46.75.Z),----------------------------------------------------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9) Sprzedaż hurtowa niewyspecjalizowana (PKD 46.9), --------------------------------------------------------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>10) Sprzedaż detaliczna prowadzona w niewyspecjalizowanych sklepach (PKD 47.1), --------------------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11) Sprzedaż detaliczna wyrobów farmaceutycznych prowadzona w wyspecjalizowanych sklepach (PKD 47.73), -----------------------------------------------------------------------------------------------------------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lastRenderedPageBreak/>
        <w:t xml:space="preserve">12) Sprzedaż detaliczna wyrobów medycznych, włączając ortopedyczne, prowadzona w wyspecjalizowanych sklepach (PKD 47.74),-----------------------------------------------------------------------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13) Sprzedaż detaliczna kosmetyków i artykułów toaletowych prowadzona w wyspecjalizowanych sklepach (PKD 47.75),------------------------------------------------------------------------------------------------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14) Pozostała działalność usługowa w zakresie technologii informatycznych i komputerowych (PKD 62.09.Z), ----------------------------------------------------------------------------------------------------------------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15) Działalność rachunkowo – księgowa; doradztwo podatkowe (PKD 69.20), 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16) Doradztwo związane z zarządzaniem (PKD 70.2.),----------------------------------------------------------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17) Pozostałe doradztwo w zakresie prowadzenia działalności gospodarczej i zarządzania (PKD 70.22),------------------------------------------------------------------------------------------------------------------- 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18) Badania i analizy techniczne (PKD 71.20), -------------------------------------------------------------------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19) Reklama (PKD 73.1),---------------------------------------------------------------------------------------------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20) Badanie rynku i opinii publicznej (PKD 73.2.), --------------------------------------------------------------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21) Działalność w zakresie specjalistycznego projektowania (PKD 74.1), 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>22) Pozostała działalność profesjonalna, naukowa i techniczna, gdzie indziej niesklasyfikowana (PKD 74.9), --------------------------------------------------------------------------------------------------------------------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23) Pozaszkolne formy edukacji, gdzie indziej niesklasyfikowane (85.59), 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24) Pozostała działalność usługowa. Gdzie indziej niesklasyfikowana (PKD 96.09),-----------------------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>25) Sprzedaż hurtowa i detaliczna samochodów osobowych i furgonetek (PKD 45.11.Z), -----------------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 xml:space="preserve">26) Pozostałe formy udzielania kredytów (PKD 64.92.Z), ------------------------------------------------------ 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>27) Pozostała finansowa działalność usługowa, gdzie indziej niesklasyfikowana, z wyłączeniem ubezpieczeń i funduszów emerytalnych (PKD 64.99.Z),----------------------------------------------------------</w:t>
      </w:r>
    </w:p>
    <w:p w:rsidR="00A856E1" w:rsidRPr="00A856E1" w:rsidRDefault="00A856E1" w:rsidP="00A856E1">
      <w:pPr>
        <w:pStyle w:val="wText"/>
        <w:rPr>
          <w:i/>
        </w:rPr>
      </w:pPr>
      <w:r w:rsidRPr="00A856E1">
        <w:rPr>
          <w:i/>
        </w:rPr>
        <w:t>28) Pozostała działalność w zakresie opieki zdrowotnej, gdzie indziej niesklasyfikowana (PKD 86.90.E), ),----------------------------------------------------------</w:t>
      </w:r>
    </w:p>
    <w:p w:rsidR="00A856E1" w:rsidRPr="00A856E1" w:rsidRDefault="00A856E1" w:rsidP="00A856E1">
      <w:pPr>
        <w:pStyle w:val="wText"/>
      </w:pPr>
      <w:r w:rsidRPr="00A856E1">
        <w:rPr>
          <w:i/>
        </w:rPr>
        <w:t>29) Pozostała usługowa działalność gastronomiczna (PKD 56.29.Z)”</w:t>
      </w:r>
    </w:p>
    <w:p w:rsidR="00A856E1" w:rsidRPr="00A856E1" w:rsidRDefault="00A856E1" w:rsidP="00A856E1">
      <w:pPr>
        <w:tabs>
          <w:tab w:val="right" w:leader="hyphen" w:pos="9072"/>
        </w:tabs>
        <w:spacing w:line="360" w:lineRule="auto"/>
        <w:ind w:left="802" w:right="801"/>
        <w:jc w:val="center"/>
        <w:rPr>
          <w:rFonts w:ascii="Times New Roman" w:hAnsi="Times New Roman" w:cs="Times New Roman"/>
          <w:b/>
        </w:rPr>
      </w:pPr>
      <w:r w:rsidRPr="00A856E1">
        <w:rPr>
          <w:rFonts w:ascii="Times New Roman" w:hAnsi="Times New Roman" w:cs="Times New Roman"/>
          <w:b/>
        </w:rPr>
        <w:t>§3</w:t>
      </w:r>
    </w:p>
    <w:p w:rsidR="00A856E1" w:rsidRPr="00A856E1" w:rsidRDefault="00A856E1" w:rsidP="00A856E1">
      <w:pPr>
        <w:pStyle w:val="wText"/>
      </w:pPr>
      <w:r w:rsidRPr="00A856E1">
        <w:t xml:space="preserve">Upoważnia się Radę Nadzorczą do sporządzenia tekstu jednolitego Statutu Spółki, z uwzględnieniem zmian wprowadzonych w § 2 niniejszej uchwały. </w:t>
      </w:r>
    </w:p>
    <w:p w:rsidR="00A856E1" w:rsidRPr="00A856E1" w:rsidRDefault="00A856E1" w:rsidP="00A856E1">
      <w:pPr>
        <w:tabs>
          <w:tab w:val="right" w:leader="hyphen" w:pos="9072"/>
        </w:tabs>
        <w:spacing w:line="360" w:lineRule="auto"/>
        <w:ind w:left="802" w:right="801"/>
        <w:jc w:val="center"/>
        <w:rPr>
          <w:rFonts w:ascii="Times New Roman" w:hAnsi="Times New Roman" w:cs="Times New Roman"/>
          <w:b/>
        </w:rPr>
      </w:pPr>
      <w:r w:rsidRPr="00A856E1">
        <w:rPr>
          <w:rFonts w:ascii="Times New Roman" w:hAnsi="Times New Roman" w:cs="Times New Roman"/>
          <w:b/>
        </w:rPr>
        <w:t>§4</w:t>
      </w:r>
    </w:p>
    <w:p w:rsidR="00A856E1" w:rsidRPr="00A856E1" w:rsidRDefault="00A856E1" w:rsidP="00A856E1">
      <w:pPr>
        <w:jc w:val="both"/>
        <w:rPr>
          <w:rFonts w:ascii="Times New Roman" w:hAnsi="Times New Roman" w:cs="Times New Roman"/>
        </w:rPr>
      </w:pPr>
      <w:r w:rsidRPr="00A856E1">
        <w:rPr>
          <w:rFonts w:ascii="Times New Roman" w:hAnsi="Times New Roman" w:cs="Times New Roman"/>
        </w:rPr>
        <w:t>Uchwała wchodzi w życie z dniem podjęcia. Zmiana Statutu dla swej ważności wymaga rejestracji w sądzie rejestrowym.</w:t>
      </w:r>
    </w:p>
    <w:p w:rsidR="00A856E1" w:rsidRPr="00A856E1" w:rsidRDefault="00A856E1" w:rsidP="00A856E1">
      <w:pPr>
        <w:keepNext/>
        <w:tabs>
          <w:tab w:val="right" w:leader="hyphen" w:pos="9072"/>
        </w:tabs>
        <w:spacing w:line="360" w:lineRule="auto"/>
        <w:ind w:left="802" w:right="801"/>
        <w:jc w:val="center"/>
        <w:rPr>
          <w:rFonts w:ascii="Times New Roman" w:hAnsi="Times New Roman" w:cs="Times New Roman"/>
          <w:b/>
        </w:rPr>
      </w:pPr>
    </w:p>
    <w:p w:rsidR="00A856E1" w:rsidRPr="00A856E1" w:rsidRDefault="00A856E1" w:rsidP="00A856E1">
      <w:pPr>
        <w:keepNext/>
        <w:tabs>
          <w:tab w:val="right" w:leader="hyphen" w:pos="9072"/>
        </w:tabs>
        <w:spacing w:line="360" w:lineRule="auto"/>
        <w:ind w:right="801"/>
        <w:rPr>
          <w:rFonts w:ascii="Times New Roman" w:hAnsi="Times New Roman" w:cs="Times New Roman"/>
          <w:i/>
        </w:rPr>
      </w:pPr>
      <w:r w:rsidRPr="00A856E1">
        <w:rPr>
          <w:rFonts w:ascii="Times New Roman" w:hAnsi="Times New Roman" w:cs="Times New Roman"/>
          <w:i/>
        </w:rPr>
        <w:t>UZASADNIENIE</w:t>
      </w:r>
      <w:bookmarkStart w:id="0" w:name="_GoBack"/>
      <w:bookmarkEnd w:id="0"/>
    </w:p>
    <w:p w:rsidR="00A856E1" w:rsidRPr="00A856E1" w:rsidRDefault="00A856E1" w:rsidP="00A856E1">
      <w:pPr>
        <w:pStyle w:val="wText1"/>
        <w:keepNext/>
        <w:ind w:left="0"/>
        <w:jc w:val="left"/>
        <w:rPr>
          <w:rStyle w:val="FontStyle11"/>
          <w:rFonts w:ascii="Times New Roman" w:hAnsi="Times New Roman" w:cs="Times New Roman"/>
          <w:iCs w:val="0"/>
          <w:color w:val="auto"/>
          <w:sz w:val="22"/>
          <w:szCs w:val="22"/>
        </w:rPr>
      </w:pPr>
      <w:r w:rsidRPr="00A856E1">
        <w:rPr>
          <w:i/>
        </w:rPr>
        <w:t xml:space="preserve">Zmiana przedmiotu działalności ma związek z funkcjonowaniem w Spółce kantyny zakładowej zapewniającej pracownikom Spółki posiłki.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56E1" w:rsidRPr="005D3C83" w:rsidTr="00B434C4">
        <w:trPr>
          <w:trHeight w:val="70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Przeciw</w:t>
            </w: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3C83">
              <w:rPr>
                <w:rFonts w:ascii="Times New Roman" w:hAnsi="Times New Roman" w:cs="Times New Roman"/>
              </w:rPr>
              <w:t>Zgłoszenie sprzeciwu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Wstrzymuję się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1" w:rsidRPr="005D3C83" w:rsidRDefault="00A856E1" w:rsidP="00B43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□ Według uznania pełnomocnika</w:t>
            </w:r>
          </w:p>
        </w:tc>
      </w:tr>
      <w:tr w:rsidR="00A856E1" w:rsidRPr="005D3C83" w:rsidTr="00B434C4">
        <w:trPr>
          <w:trHeight w:val="7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Liczba akcji:</w:t>
            </w:r>
          </w:p>
        </w:tc>
      </w:tr>
      <w:tr w:rsidR="00A856E1" w:rsidRPr="005D3C83" w:rsidTr="00B434C4">
        <w:trPr>
          <w:trHeight w:val="87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6E1" w:rsidRPr="005D3C83" w:rsidRDefault="00A856E1" w:rsidP="00B43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C83">
              <w:rPr>
                <w:rFonts w:ascii="Times New Roman" w:hAnsi="Times New Roman" w:cs="Times New Roman"/>
              </w:rPr>
              <w:t>Inne:</w:t>
            </w:r>
          </w:p>
        </w:tc>
      </w:tr>
    </w:tbl>
    <w:p w:rsidR="00A856E1" w:rsidRPr="00A856E1" w:rsidRDefault="00A856E1" w:rsidP="00A856E1">
      <w:pPr>
        <w:pStyle w:val="Style3"/>
        <w:widowControl/>
        <w:spacing w:before="96" w:after="240" w:line="276" w:lineRule="auto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856E1" w:rsidRPr="00A856E1" w:rsidRDefault="00A856E1" w:rsidP="00A856E1"/>
    <w:p w:rsidR="00A856E1" w:rsidRPr="00A856E1" w:rsidRDefault="00A856E1" w:rsidP="00A856E1"/>
    <w:p w:rsidR="00A856E1" w:rsidRPr="00A856E1" w:rsidRDefault="00A856E1"/>
    <w:sectPr w:rsidR="00A856E1" w:rsidRPr="00A8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0" w:rsidRDefault="00A856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0" w:rsidRDefault="00A856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0" w:rsidRDefault="00A856E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0" w:rsidRDefault="00A856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62" w:rsidRDefault="00A856E1" w:rsidP="00562262">
    <w:pPr>
      <w:pStyle w:val="Style3"/>
      <w:widowControl/>
      <w:ind w:right="-9"/>
      <w:jc w:val="both"/>
      <w:rPr>
        <w:rStyle w:val="FontStyle1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0" w:rsidRDefault="00A856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F49"/>
    <w:multiLevelType w:val="singleLevel"/>
    <w:tmpl w:val="10AC0598"/>
    <w:lvl w:ilvl="0">
      <w:start w:val="1"/>
      <w:numFmt w:val="lowerLetter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" w15:restartNumberingAfterBreak="0">
    <w:nsid w:val="3BCE210B"/>
    <w:multiLevelType w:val="hybridMultilevel"/>
    <w:tmpl w:val="A49A1AE0"/>
    <w:lvl w:ilvl="0" w:tplc="359E5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7A6A65"/>
    <w:multiLevelType w:val="singleLevel"/>
    <w:tmpl w:val="0C72D208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EB65F60"/>
    <w:multiLevelType w:val="singleLevel"/>
    <w:tmpl w:val="5CA0C780"/>
    <w:lvl w:ilvl="0">
      <w:start w:val="1"/>
      <w:numFmt w:val="lowerLetter"/>
      <w:lvlText w:val="%1."/>
      <w:legacy w:legacy="1" w:legacySpace="0" w:legacyIndent="216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E1"/>
    <w:rsid w:val="00073722"/>
    <w:rsid w:val="00A856E1"/>
    <w:rsid w:val="00E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3DC3-483E-458E-9175-D8A22CC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856E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856E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856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856E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1">
    <w:name w:val="Font Style11"/>
    <w:uiPriority w:val="99"/>
    <w:rsid w:val="00A856E1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12">
    <w:name w:val="Font Style12"/>
    <w:uiPriority w:val="99"/>
    <w:rsid w:val="00A856E1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A856E1"/>
    <w:rPr>
      <w:rFonts w:ascii="Calibri" w:hAnsi="Calibri" w:cs="Calibri"/>
      <w:color w:val="000000"/>
      <w:sz w:val="20"/>
      <w:szCs w:val="20"/>
    </w:rPr>
  </w:style>
  <w:style w:type="paragraph" w:customStyle="1" w:styleId="wText">
    <w:name w:val="wText"/>
    <w:basedOn w:val="Normalny"/>
    <w:link w:val="wTextChar"/>
    <w:uiPriority w:val="2"/>
    <w:qFormat/>
    <w:rsid w:val="00A856E1"/>
    <w:p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character" w:customStyle="1" w:styleId="wTextChar">
    <w:name w:val="wText Char"/>
    <w:basedOn w:val="Domylnaczcionkaakapitu"/>
    <w:link w:val="wText"/>
    <w:uiPriority w:val="2"/>
    <w:rsid w:val="00A856E1"/>
    <w:rPr>
      <w:rFonts w:ascii="Times New Roman" w:eastAsia="MS Mincho" w:hAnsi="Times New Roman" w:cs="Times New Roman"/>
    </w:rPr>
  </w:style>
  <w:style w:type="paragraph" w:customStyle="1" w:styleId="wText1">
    <w:name w:val="wText1"/>
    <w:basedOn w:val="Normalny"/>
    <w:uiPriority w:val="1"/>
    <w:qFormat/>
    <w:rsid w:val="00A856E1"/>
    <w:pPr>
      <w:spacing w:after="180" w:line="240" w:lineRule="auto"/>
      <w:ind w:left="720"/>
      <w:jc w:val="both"/>
    </w:pPr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3433</Words>
  <Characters>20604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Błaszczyński</dc:creator>
  <cp:keywords/>
  <dc:description/>
  <cp:lastModifiedBy>Witold Błaszczyński</cp:lastModifiedBy>
  <cp:revision>1</cp:revision>
  <dcterms:created xsi:type="dcterms:W3CDTF">2022-05-26T10:25:00Z</dcterms:created>
  <dcterms:modified xsi:type="dcterms:W3CDTF">2022-05-26T10:35:00Z</dcterms:modified>
</cp:coreProperties>
</file>