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EC63" w14:textId="443C5C56" w:rsidR="002228FC" w:rsidRPr="00AE1655" w:rsidRDefault="00FA606B" w:rsidP="002228FC">
      <w:pPr>
        <w:pStyle w:val="Zawartoramki"/>
        <w:ind w:right="25"/>
        <w:jc w:val="left"/>
        <w:rPr>
          <w:rFonts w:asciiTheme="majorHAnsi" w:hAnsiTheme="majorHAnsi" w:cstheme="majorHAnsi"/>
          <w:sz w:val="22"/>
          <w:szCs w:val="22"/>
        </w:rPr>
      </w:pPr>
      <w:r w:rsidRPr="00AE1655">
        <w:rPr>
          <w:rFonts w:asciiTheme="majorHAnsi" w:hAnsiTheme="majorHAnsi" w:cstheme="majorHAnsi"/>
          <w:sz w:val="22"/>
          <w:szCs w:val="22"/>
        </w:rPr>
        <w:t>oznaczenie</w:t>
      </w:r>
      <w:r w:rsidR="002228FC" w:rsidRPr="00AE1655">
        <w:rPr>
          <w:rFonts w:asciiTheme="majorHAnsi" w:hAnsiTheme="majorHAnsi" w:cstheme="majorHAnsi"/>
          <w:sz w:val="22"/>
          <w:szCs w:val="22"/>
        </w:rPr>
        <w:t>:</w:t>
      </w:r>
      <w:r w:rsidR="00DD27E7" w:rsidRPr="00AE1655">
        <w:rPr>
          <w:rFonts w:asciiTheme="majorHAnsi" w:hAnsiTheme="majorHAnsi" w:cstheme="majorHAnsi"/>
          <w:sz w:val="22"/>
          <w:szCs w:val="22"/>
        </w:rPr>
        <w:t xml:space="preserve"> </w:t>
      </w:r>
      <w:r w:rsidR="005776FE">
        <w:rPr>
          <w:rFonts w:asciiTheme="majorHAnsi" w:hAnsiTheme="majorHAnsi" w:cstheme="majorHAnsi"/>
          <w:sz w:val="22"/>
          <w:szCs w:val="22"/>
        </w:rPr>
        <w:t>2/</w:t>
      </w:r>
      <w:r w:rsidR="00A90367" w:rsidRPr="00A90367">
        <w:rPr>
          <w:rFonts w:asciiTheme="majorHAnsi" w:hAnsiTheme="majorHAnsi" w:cstheme="majorHAnsi"/>
          <w:sz w:val="22"/>
          <w:szCs w:val="22"/>
        </w:rPr>
        <w:t>2022/G/</w:t>
      </w:r>
      <w:proofErr w:type="spellStart"/>
      <w:r w:rsidR="00A90367" w:rsidRPr="00A90367">
        <w:rPr>
          <w:rFonts w:asciiTheme="majorHAnsi" w:hAnsiTheme="majorHAnsi" w:cstheme="majorHAnsi"/>
          <w:sz w:val="22"/>
          <w:szCs w:val="22"/>
        </w:rPr>
        <w:t>CardioCAPS</w:t>
      </w:r>
      <w:proofErr w:type="spellEnd"/>
    </w:p>
    <w:p w14:paraId="5A86502B" w14:textId="77777777" w:rsidR="002228FC" w:rsidRPr="00AE1655" w:rsidRDefault="002228FC" w:rsidP="002228FC">
      <w:pPr>
        <w:pStyle w:val="Zawartoramki"/>
        <w:ind w:right="25"/>
        <w:jc w:val="right"/>
        <w:rPr>
          <w:rFonts w:asciiTheme="majorHAnsi" w:hAnsiTheme="majorHAnsi" w:cstheme="majorHAnsi"/>
          <w:sz w:val="22"/>
          <w:szCs w:val="22"/>
        </w:rPr>
      </w:pPr>
      <w:r w:rsidRPr="00AE1655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50630F" w:rsidRPr="00AE1655">
        <w:rPr>
          <w:rFonts w:asciiTheme="majorHAnsi" w:hAnsiTheme="majorHAnsi" w:cstheme="majorHAnsi"/>
          <w:sz w:val="22"/>
          <w:szCs w:val="22"/>
        </w:rPr>
        <w:t>2</w:t>
      </w:r>
      <w:r w:rsidRPr="00AE165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7DF6350" w14:textId="77777777" w:rsidR="0050630F" w:rsidRPr="00AE1655" w:rsidRDefault="0050630F" w:rsidP="0050630F">
      <w:pPr>
        <w:pStyle w:val="Zawartoramki"/>
        <w:ind w:right="25"/>
        <w:jc w:val="both"/>
        <w:rPr>
          <w:rFonts w:ascii="Calibri" w:hAnsi="Calibri" w:cs="Calibri"/>
          <w:sz w:val="22"/>
          <w:szCs w:val="22"/>
        </w:rPr>
      </w:pPr>
    </w:p>
    <w:p w14:paraId="3FF1BDA4" w14:textId="6209F0BB" w:rsidR="0050630F" w:rsidRPr="00AD3D8B" w:rsidRDefault="0050630F" w:rsidP="005776FE">
      <w:pPr>
        <w:pStyle w:val="Standard"/>
        <w:autoSpaceDE w:val="0"/>
        <w:ind w:firstLine="709"/>
        <w:jc w:val="both"/>
        <w:rPr>
          <w:rFonts w:ascii="Calibri" w:hAnsi="Calibri" w:cs="Calibri"/>
          <w:b/>
          <w:bCs/>
        </w:rPr>
      </w:pPr>
      <w:r w:rsidRPr="00AE1655">
        <w:rPr>
          <w:rFonts w:ascii="Calibri" w:hAnsi="Calibri" w:cs="Calibri"/>
          <w:bCs/>
          <w:sz w:val="22"/>
          <w:szCs w:val="22"/>
        </w:rPr>
        <w:t xml:space="preserve">W związku z </w:t>
      </w:r>
      <w:r w:rsidR="00A90367">
        <w:rPr>
          <w:rFonts w:ascii="Calibri" w:hAnsi="Calibri" w:cs="Calibri"/>
          <w:bCs/>
          <w:sz w:val="22"/>
          <w:szCs w:val="22"/>
        </w:rPr>
        <w:t xml:space="preserve">planowaną </w:t>
      </w:r>
      <w:r w:rsidRPr="00AE1655">
        <w:rPr>
          <w:rFonts w:ascii="Calibri" w:hAnsi="Calibri" w:cs="Calibri"/>
          <w:bCs/>
          <w:sz w:val="22"/>
          <w:szCs w:val="22"/>
        </w:rPr>
        <w:t xml:space="preserve">realizacją projektu: </w:t>
      </w:r>
      <w:r w:rsidRPr="00A90367">
        <w:rPr>
          <w:rFonts w:ascii="Calibri" w:hAnsi="Calibri" w:cs="Calibri"/>
          <w:b/>
          <w:bCs/>
          <w:iCs/>
          <w:sz w:val="22"/>
          <w:szCs w:val="22"/>
        </w:rPr>
        <w:t>„</w:t>
      </w:r>
      <w:proofErr w:type="spellStart"/>
      <w:r w:rsidR="00A90367" w:rsidRPr="00A90367">
        <w:rPr>
          <w:rFonts w:ascii="Calibri" w:hAnsi="Calibri" w:cs="Calibri"/>
          <w:b/>
          <w:bCs/>
          <w:iCs/>
          <w:sz w:val="22"/>
          <w:szCs w:val="22"/>
        </w:rPr>
        <w:t>CardioCAPS</w:t>
      </w:r>
      <w:proofErr w:type="spellEnd"/>
      <w:r w:rsidR="00A90367" w:rsidRPr="00A90367">
        <w:rPr>
          <w:rFonts w:ascii="Calibri" w:hAnsi="Calibri" w:cs="Calibri"/>
          <w:b/>
          <w:bCs/>
          <w:iCs/>
          <w:sz w:val="22"/>
          <w:szCs w:val="22"/>
        </w:rPr>
        <w:t xml:space="preserve"> - Zwiększenie bezpieczeństwa lekowego poprzez wdrożenie w produkcji własnej Celon Pharma S.A. innowacyjnych form doustnych produktów leczniczych stosowanych w farmakoterapii chorób sercowo-naczyniowych</w:t>
      </w:r>
      <w:r w:rsidRPr="00A90367">
        <w:rPr>
          <w:rFonts w:ascii="Calibri" w:hAnsi="Calibri" w:cs="Calibri"/>
          <w:b/>
          <w:bCs/>
          <w:iCs/>
          <w:sz w:val="22"/>
          <w:szCs w:val="22"/>
        </w:rPr>
        <w:t>”</w:t>
      </w:r>
      <w:r w:rsidRPr="00AE1655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A90367" w:rsidRPr="00A90367">
        <w:rPr>
          <w:rFonts w:ascii="Calibri" w:hAnsi="Calibri" w:cs="Calibri"/>
          <w:iCs/>
          <w:sz w:val="22"/>
          <w:szCs w:val="22"/>
        </w:rPr>
        <w:t xml:space="preserve">w ramach </w:t>
      </w:r>
      <w:r w:rsidR="00A90367" w:rsidRPr="00A90367">
        <w:rPr>
          <w:rFonts w:ascii="Calibri" w:hAnsi="Calibri" w:cs="Calibri"/>
          <w:i/>
          <w:sz w:val="22"/>
          <w:szCs w:val="22"/>
        </w:rPr>
        <w:t xml:space="preserve">Konkursu na opracowanie i rozwój innowacyjnych rozwiązań w obszarze nowych postaci farmaceutycznych produktów leczniczych dopuszczonych do obrotu, leków generycznych i leków </w:t>
      </w:r>
      <w:proofErr w:type="spellStart"/>
      <w:r w:rsidR="00A90367" w:rsidRPr="00A90367">
        <w:rPr>
          <w:rFonts w:ascii="Calibri" w:hAnsi="Calibri" w:cs="Calibri"/>
          <w:i/>
          <w:sz w:val="22"/>
          <w:szCs w:val="22"/>
        </w:rPr>
        <w:t>biopodobnych</w:t>
      </w:r>
      <w:proofErr w:type="spellEnd"/>
      <w:r w:rsidR="00A90367" w:rsidRPr="00A90367">
        <w:rPr>
          <w:rFonts w:ascii="Calibri" w:hAnsi="Calibri" w:cs="Calibri"/>
          <w:iCs/>
          <w:sz w:val="22"/>
          <w:szCs w:val="22"/>
        </w:rPr>
        <w:t xml:space="preserve"> organizowanego przez Agencję Badań Medycznych (numer naboru ABM/2022/4, numer wniosku 2022/ABM/04/00001)</w:t>
      </w:r>
      <w:r w:rsidR="00A90367">
        <w:rPr>
          <w:rFonts w:ascii="Calibri" w:hAnsi="Calibri" w:cs="Calibri"/>
          <w:iCs/>
          <w:sz w:val="22"/>
          <w:szCs w:val="22"/>
        </w:rPr>
        <w:t xml:space="preserve"> </w:t>
      </w:r>
      <w:r w:rsidRPr="00AE1655">
        <w:rPr>
          <w:rFonts w:ascii="Calibri" w:hAnsi="Calibri" w:cs="Calibri"/>
          <w:bCs/>
          <w:sz w:val="22"/>
          <w:szCs w:val="22"/>
        </w:rPr>
        <w:t>firma</w:t>
      </w:r>
      <w:r w:rsidRPr="00AE1655">
        <w:rPr>
          <w:rFonts w:ascii="Calibri" w:hAnsi="Calibri" w:cs="Calibri"/>
          <w:b/>
          <w:bCs/>
        </w:rPr>
        <w:t xml:space="preserve"> </w:t>
      </w:r>
      <w:r w:rsidRPr="00AE1655">
        <w:rPr>
          <w:rFonts w:ascii="Calibri" w:hAnsi="Calibri" w:cs="Calibri"/>
          <w:bCs/>
          <w:sz w:val="22"/>
          <w:szCs w:val="22"/>
        </w:rPr>
        <w:t xml:space="preserve">CELON PHARMA SA z siedzibą w Kiełpinie </w:t>
      </w:r>
      <w:r w:rsidR="00FA606B" w:rsidRPr="00AE1655">
        <w:rPr>
          <w:rFonts w:ascii="Calibri" w:hAnsi="Calibri" w:cs="Calibri"/>
          <w:bCs/>
          <w:sz w:val="22"/>
          <w:szCs w:val="22"/>
        </w:rPr>
        <w:t xml:space="preserve">zaprasza do składania ofert </w:t>
      </w:r>
      <w:r w:rsidRPr="00AE1655">
        <w:rPr>
          <w:rFonts w:ascii="Calibri" w:hAnsi="Calibri" w:cs="Calibri"/>
          <w:bCs/>
          <w:sz w:val="22"/>
          <w:szCs w:val="22"/>
        </w:rPr>
        <w:t>na dostawę</w:t>
      </w:r>
      <w:r w:rsidR="00FA606B" w:rsidRPr="00AE1655">
        <w:rPr>
          <w:rFonts w:ascii="Calibri" w:hAnsi="Calibri" w:cs="Calibri"/>
          <w:bCs/>
          <w:sz w:val="22"/>
          <w:szCs w:val="22"/>
        </w:rPr>
        <w:t>:</w:t>
      </w:r>
    </w:p>
    <w:p w14:paraId="380524A8" w14:textId="77777777" w:rsidR="0050630F" w:rsidRPr="00803075" w:rsidRDefault="0050630F" w:rsidP="0050630F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67C2B5AE" w14:textId="2ECCC159" w:rsidR="00982AAC" w:rsidRDefault="0050630F" w:rsidP="0050630F">
      <w:pPr>
        <w:jc w:val="both"/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</w:pPr>
      <w:r w:rsidRPr="00AD3D8B">
        <w:rPr>
          <w:rFonts w:ascii="Calibri" w:eastAsia="SimSun" w:hAnsi="Calibri" w:cs="Calibri"/>
          <w:kern w:val="2"/>
          <w:sz w:val="22"/>
          <w:szCs w:val="22"/>
          <w:lang w:val="pl-PL" w:eastAsia="hi-IN" w:bidi="hi-IN"/>
        </w:rPr>
        <w:t>Przedmiot postępowania</w:t>
      </w:r>
      <w:r w:rsidRPr="00803075"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  <w:t xml:space="preserve"> </w:t>
      </w:r>
      <w:r w:rsidRPr="00AD3D8B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 xml:space="preserve">– </w:t>
      </w:r>
      <w:proofErr w:type="spellStart"/>
      <w:r w:rsidR="00A90367" w:rsidRPr="00A90367">
        <w:rPr>
          <w:rFonts w:ascii="Calibri" w:eastAsia="SimSun" w:hAnsi="Calibri" w:cs="Calibri"/>
          <w:b/>
          <w:iCs/>
          <w:kern w:val="2"/>
          <w:sz w:val="22"/>
          <w:szCs w:val="22"/>
          <w:lang w:val="pl-PL" w:eastAsia="hi-IN" w:bidi="hi-IN"/>
        </w:rPr>
        <w:t>Kapsułkarka</w:t>
      </w:r>
      <w:proofErr w:type="spellEnd"/>
      <w:r w:rsidR="00F05CD4" w:rsidRPr="00A90367">
        <w:rPr>
          <w:rFonts w:ascii="Calibri" w:eastAsia="SimSun" w:hAnsi="Calibri" w:cs="Calibri"/>
          <w:b/>
          <w:iCs/>
          <w:kern w:val="2"/>
          <w:sz w:val="22"/>
          <w:szCs w:val="22"/>
          <w:lang w:val="pl-PL" w:eastAsia="hi-IN" w:bidi="hi-IN"/>
        </w:rPr>
        <w:t xml:space="preserve"> </w:t>
      </w:r>
      <w:r w:rsidR="00A90367">
        <w:rPr>
          <w:rFonts w:ascii="Calibri" w:eastAsia="SimSun" w:hAnsi="Calibri" w:cs="Calibri"/>
          <w:b/>
          <w:iCs/>
          <w:kern w:val="2"/>
          <w:sz w:val="22"/>
          <w:szCs w:val="22"/>
          <w:lang w:val="pl-PL" w:eastAsia="hi-IN" w:bidi="hi-IN"/>
        </w:rPr>
        <w:t xml:space="preserve">– urządzenie do napełniania proszkiem kapsułek twardych. </w:t>
      </w:r>
    </w:p>
    <w:p w14:paraId="3C77BD1D" w14:textId="77777777" w:rsidR="0050630F" w:rsidRPr="00803075" w:rsidRDefault="0050630F" w:rsidP="0050630F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5EC08129" w14:textId="29C6D9FE" w:rsidR="0050630F" w:rsidRPr="00A90367" w:rsidRDefault="00A90367" w:rsidP="0050630F">
      <w:pPr>
        <w:pStyle w:val="Nagwek"/>
        <w:jc w:val="both"/>
        <w:rPr>
          <w:rFonts w:ascii="Calibri" w:eastAsia="Calibri" w:hAnsi="Calibri" w:cs="Calibri"/>
          <w:sz w:val="22"/>
          <w:szCs w:val="22"/>
          <w:lang w:val="pl-PL"/>
        </w:rPr>
      </w:pPr>
      <w:bookmarkStart w:id="0" w:name="_Hlk88132686"/>
      <w:r>
        <w:rPr>
          <w:rFonts w:ascii="Calibri" w:hAnsi="Calibri" w:cs="Calibri"/>
          <w:bCs/>
          <w:sz w:val="22"/>
          <w:szCs w:val="22"/>
          <w:lang w:val="pl-PL"/>
        </w:rPr>
        <w:t xml:space="preserve">Urządzenie </w:t>
      </w:r>
      <w:r>
        <w:rPr>
          <w:rFonts w:ascii="Calibri" w:hAnsi="Calibri" w:cs="Calibri"/>
          <w:sz w:val="22"/>
          <w:szCs w:val="22"/>
          <w:lang w:val="pl-PL"/>
        </w:rPr>
        <w:t>powinno spełniać</w:t>
      </w:r>
      <w:r w:rsidR="0050630F" w:rsidRPr="00803075">
        <w:rPr>
          <w:rFonts w:ascii="Calibri" w:hAnsi="Calibri" w:cs="Calibri"/>
          <w:sz w:val="22"/>
          <w:szCs w:val="22"/>
          <w:lang w:val="pl-PL"/>
        </w:rPr>
        <w:t xml:space="preserve"> </w:t>
      </w:r>
      <w:bookmarkEnd w:id="0"/>
      <w:r w:rsidRPr="00A90367">
        <w:rPr>
          <w:rFonts w:ascii="Calibri" w:hAnsi="Calibri" w:cs="Calibri"/>
          <w:sz w:val="22"/>
          <w:szCs w:val="22"/>
          <w:lang w:val="pl-PL"/>
        </w:rPr>
        <w:t>założone</w:t>
      </w:r>
      <w:r>
        <w:rPr>
          <w:rFonts w:ascii="Calibri" w:hAnsi="Calibri" w:cs="Calibri"/>
          <w:sz w:val="22"/>
          <w:szCs w:val="22"/>
          <w:lang w:val="pl-PL"/>
        </w:rPr>
        <w:t>,</w:t>
      </w:r>
      <w:r w:rsidRPr="00A90367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wymienione </w:t>
      </w:r>
      <w:r w:rsidR="00FF6AE5">
        <w:rPr>
          <w:rFonts w:ascii="Calibri" w:hAnsi="Calibri" w:cs="Calibri"/>
          <w:sz w:val="22"/>
          <w:szCs w:val="22"/>
          <w:lang w:val="pl-PL"/>
        </w:rPr>
        <w:t>w opisie przedmiotu zamówienia</w:t>
      </w:r>
      <w:r>
        <w:rPr>
          <w:rFonts w:ascii="Calibri" w:hAnsi="Calibri" w:cs="Calibri"/>
          <w:sz w:val="22"/>
          <w:szCs w:val="22"/>
          <w:lang w:val="pl-PL"/>
        </w:rPr>
        <w:t>,</w:t>
      </w:r>
      <w:r w:rsidRPr="00A90367">
        <w:rPr>
          <w:rFonts w:ascii="Calibri" w:hAnsi="Calibri" w:cs="Calibri"/>
          <w:sz w:val="22"/>
          <w:szCs w:val="22"/>
          <w:lang w:val="pl-PL"/>
        </w:rPr>
        <w:t xml:space="preserve"> funkcjonalności przy jednoczesnym spełnieniu wymagań stawianym urządzeniom do produkcji farmaceutycznej</w:t>
      </w:r>
      <w:r w:rsidR="00FF6AE5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FF6AE5" w:rsidRPr="00FF6AE5">
        <w:rPr>
          <w:rFonts w:ascii="Calibri" w:hAnsi="Calibri" w:cs="Calibri"/>
          <w:sz w:val="22"/>
          <w:szCs w:val="22"/>
          <w:lang w:val="pl-PL"/>
        </w:rPr>
        <w:t>Urządzenie musi pracować w trybie automatycznym</w:t>
      </w:r>
      <w:r w:rsidR="00FF6AE5"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FF6AE5" w:rsidRPr="00FF6AE5">
        <w:rPr>
          <w:rFonts w:ascii="Calibri" w:hAnsi="Calibri" w:cs="Calibri"/>
          <w:sz w:val="22"/>
          <w:szCs w:val="22"/>
          <w:lang w:val="pl-PL"/>
        </w:rPr>
        <w:t>powinno mieć możliwość rozbudowy o moduły umożliwiające kapsułkowanie</w:t>
      </w:r>
      <w:r w:rsidR="00FF6AE5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FF6AE5" w:rsidRPr="00FF6AE5">
        <w:rPr>
          <w:rFonts w:ascii="Calibri" w:hAnsi="Calibri" w:cs="Calibri"/>
          <w:sz w:val="22"/>
          <w:szCs w:val="22"/>
          <w:lang w:val="pl-PL"/>
        </w:rPr>
        <w:t>mikrodoz</w:t>
      </w:r>
      <w:proofErr w:type="spellEnd"/>
      <w:r w:rsidR="00FF6AE5">
        <w:rPr>
          <w:rFonts w:ascii="Calibri" w:hAnsi="Calibri" w:cs="Calibri"/>
          <w:sz w:val="22"/>
          <w:szCs w:val="22"/>
          <w:lang w:val="pl-PL"/>
        </w:rPr>
        <w:t xml:space="preserve"> oraz</w:t>
      </w:r>
      <w:r w:rsidR="00FF6AE5" w:rsidRPr="00FF6AE5">
        <w:t xml:space="preserve"> </w:t>
      </w:r>
      <w:r w:rsidR="00FF6AE5" w:rsidRPr="00FF6AE5">
        <w:rPr>
          <w:rFonts w:ascii="Calibri" w:hAnsi="Calibri" w:cs="Calibri"/>
          <w:sz w:val="22"/>
          <w:szCs w:val="22"/>
          <w:lang w:val="pl-PL"/>
        </w:rPr>
        <w:t>musi przejść pozytywnie testy kwalifikacyjne</w:t>
      </w:r>
      <w:r w:rsidR="00FF6AE5">
        <w:rPr>
          <w:rFonts w:ascii="Calibri" w:hAnsi="Calibri" w:cs="Calibri"/>
          <w:sz w:val="22"/>
          <w:szCs w:val="22"/>
          <w:lang w:val="pl-PL"/>
        </w:rPr>
        <w:t xml:space="preserve">. Poniższa </w:t>
      </w:r>
      <w:r w:rsidR="00FF6AE5" w:rsidRPr="00FF6AE5">
        <w:rPr>
          <w:rFonts w:ascii="Calibri" w:hAnsi="Calibri" w:cs="Calibri"/>
          <w:sz w:val="22"/>
          <w:szCs w:val="22"/>
          <w:lang w:val="pl-PL"/>
        </w:rPr>
        <w:t>specyfikacja będzie stanowić dokument odniesienia do specyfikacji funkcjonalnej, która powstanie przy współpracy z konstruktorem/producentem urządzenia oraz podczas walidacji systemu skomputeryzowanego</w:t>
      </w:r>
      <w:r w:rsidR="00FF6AE5">
        <w:rPr>
          <w:rFonts w:ascii="Calibri" w:hAnsi="Calibri" w:cs="Calibri"/>
          <w:sz w:val="22"/>
          <w:szCs w:val="22"/>
          <w:lang w:val="pl-PL"/>
        </w:rPr>
        <w:t>.</w:t>
      </w:r>
    </w:p>
    <w:p w14:paraId="1A27F24A" w14:textId="77777777" w:rsidR="0050630F" w:rsidRPr="005776FE" w:rsidRDefault="0050630F" w:rsidP="00903135">
      <w:pPr>
        <w:pStyle w:val="Zawartoramki"/>
        <w:ind w:right="25"/>
        <w:jc w:val="both"/>
        <w:rPr>
          <w:rFonts w:asciiTheme="majorHAnsi" w:hAnsiTheme="majorHAnsi" w:cstheme="majorHAnsi"/>
          <w:b w:val="0"/>
          <w:bCs w:val="0"/>
          <w:sz w:val="22"/>
          <w:szCs w:val="22"/>
        </w:rPr>
      </w:pPr>
    </w:p>
    <w:p w14:paraId="494ED262" w14:textId="77777777" w:rsidR="005776FE" w:rsidRDefault="005776FE" w:rsidP="005776FE">
      <w:pPr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12686093" w14:textId="6FE9CE0B" w:rsidR="005A4BC6" w:rsidRDefault="005776FE" w:rsidP="005776F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</w:pPr>
      <w:r w:rsidRPr="005776FE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OPIS PRZEDMIOTU ZAMÓWIENIA</w:t>
      </w:r>
    </w:p>
    <w:p w14:paraId="77927108" w14:textId="77777777" w:rsidR="005776FE" w:rsidRPr="005776FE" w:rsidRDefault="005776FE" w:rsidP="005776F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</w:pPr>
    </w:p>
    <w:p w14:paraId="7C5F96F4" w14:textId="5A067307" w:rsidR="008E7216" w:rsidRPr="005776FE" w:rsidRDefault="008E7216" w:rsidP="002228FC">
      <w:pPr>
        <w:rPr>
          <w:rFonts w:asciiTheme="majorHAnsi" w:hAnsiTheme="majorHAnsi" w:cstheme="majorHAnsi"/>
          <w:bCs/>
          <w:sz w:val="22"/>
          <w:szCs w:val="22"/>
          <w:lang w:val="pl-PL"/>
        </w:rPr>
      </w:pPr>
    </w:p>
    <w:p w14:paraId="343CAA3C" w14:textId="0FC97272" w:rsidR="00FF6AE5" w:rsidRPr="00FF6AE5" w:rsidRDefault="00FF6AE5" w:rsidP="00FF6AE5">
      <w:pPr>
        <w:pStyle w:val="Styl2"/>
        <w:numPr>
          <w:ilvl w:val="0"/>
          <w:numId w:val="0"/>
        </w:numPr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FF6AE5">
        <w:rPr>
          <w:rFonts w:asciiTheme="majorHAnsi" w:hAnsiTheme="majorHAnsi" w:cstheme="majorHAnsi"/>
          <w:b w:val="0"/>
          <w:sz w:val="22"/>
          <w:szCs w:val="22"/>
        </w:rPr>
        <w:t>Urządzenie ma służyć do napełniania kapsułek proszkiem i zapewnić uzyskiwanie produktów spełniających określoną specyfikację jakościową</w:t>
      </w:r>
      <w:r>
        <w:rPr>
          <w:rFonts w:asciiTheme="majorHAnsi" w:hAnsiTheme="majorHAnsi" w:cstheme="majorHAnsi"/>
          <w:b w:val="0"/>
          <w:sz w:val="22"/>
          <w:szCs w:val="22"/>
        </w:rPr>
        <w:t>.</w:t>
      </w:r>
    </w:p>
    <w:p w14:paraId="165B93A5" w14:textId="77777777" w:rsidR="00FF6AE5" w:rsidRPr="00FF6AE5" w:rsidRDefault="00FF6AE5" w:rsidP="00FF6AE5">
      <w:pPr>
        <w:pStyle w:val="Styl2"/>
        <w:numPr>
          <w:ilvl w:val="0"/>
          <w:numId w:val="0"/>
        </w:numPr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FF6AE5">
        <w:rPr>
          <w:rFonts w:asciiTheme="majorHAnsi" w:hAnsiTheme="majorHAnsi" w:cstheme="majorHAnsi"/>
          <w:b w:val="0"/>
          <w:sz w:val="22"/>
          <w:szCs w:val="22"/>
        </w:rPr>
        <w:t xml:space="preserve">Etapy wytwarzania: </w:t>
      </w:r>
    </w:p>
    <w:p w14:paraId="523BDE3B" w14:textId="77777777" w:rsidR="00FF6AE5" w:rsidRPr="00FF6AE5" w:rsidRDefault="00FF6AE5" w:rsidP="00FF6AE5">
      <w:pPr>
        <w:pStyle w:val="Styl2"/>
        <w:numPr>
          <w:ilvl w:val="0"/>
          <w:numId w:val="5"/>
        </w:numPr>
        <w:ind w:left="709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FF6AE5">
        <w:rPr>
          <w:rFonts w:asciiTheme="majorHAnsi" w:hAnsiTheme="majorHAnsi" w:cstheme="majorHAnsi"/>
          <w:b w:val="0"/>
          <w:sz w:val="22"/>
          <w:szCs w:val="22"/>
        </w:rPr>
        <w:t>Pneumatyczny załadunek pustych kapsułek</w:t>
      </w:r>
    </w:p>
    <w:p w14:paraId="5DC96D9A" w14:textId="77777777" w:rsidR="00FF6AE5" w:rsidRPr="00FF6AE5" w:rsidRDefault="00FF6AE5" w:rsidP="00FF6AE5">
      <w:pPr>
        <w:pStyle w:val="Styl2"/>
        <w:numPr>
          <w:ilvl w:val="0"/>
          <w:numId w:val="5"/>
        </w:numPr>
        <w:ind w:left="709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FF6AE5">
        <w:rPr>
          <w:rFonts w:asciiTheme="majorHAnsi" w:hAnsiTheme="majorHAnsi" w:cstheme="majorHAnsi"/>
          <w:b w:val="0"/>
          <w:sz w:val="22"/>
          <w:szCs w:val="22"/>
        </w:rPr>
        <w:t>Załadunek produktu poprzez zasobnik</w:t>
      </w:r>
    </w:p>
    <w:p w14:paraId="137E8391" w14:textId="77777777" w:rsidR="00FF6AE5" w:rsidRPr="00FF6AE5" w:rsidRDefault="00FF6AE5" w:rsidP="00FF6AE5">
      <w:pPr>
        <w:pStyle w:val="Styl2"/>
        <w:numPr>
          <w:ilvl w:val="0"/>
          <w:numId w:val="5"/>
        </w:numPr>
        <w:ind w:left="709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FF6AE5">
        <w:rPr>
          <w:rFonts w:asciiTheme="majorHAnsi" w:hAnsiTheme="majorHAnsi" w:cstheme="majorHAnsi"/>
          <w:b w:val="0"/>
          <w:sz w:val="22"/>
          <w:szCs w:val="22"/>
        </w:rPr>
        <w:t xml:space="preserve">Przygotowanie/orientacja/otwarcie pustych kapsułek </w:t>
      </w:r>
    </w:p>
    <w:p w14:paraId="778A0440" w14:textId="77777777" w:rsidR="00FF6AE5" w:rsidRPr="00FF6AE5" w:rsidRDefault="00FF6AE5" w:rsidP="00FF6AE5">
      <w:pPr>
        <w:pStyle w:val="Styl2"/>
        <w:numPr>
          <w:ilvl w:val="0"/>
          <w:numId w:val="5"/>
        </w:numPr>
        <w:ind w:left="709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FF6AE5">
        <w:rPr>
          <w:rFonts w:asciiTheme="majorHAnsi" w:hAnsiTheme="majorHAnsi" w:cstheme="majorHAnsi"/>
          <w:b w:val="0"/>
          <w:sz w:val="22"/>
          <w:szCs w:val="22"/>
        </w:rPr>
        <w:t>Dozowanie proszków do kapsułek</w:t>
      </w:r>
    </w:p>
    <w:p w14:paraId="04D1FC65" w14:textId="77777777" w:rsidR="00FF6AE5" w:rsidRPr="00FF6AE5" w:rsidRDefault="00FF6AE5" w:rsidP="00FF6AE5">
      <w:pPr>
        <w:pStyle w:val="Styl2"/>
        <w:numPr>
          <w:ilvl w:val="0"/>
          <w:numId w:val="5"/>
        </w:numPr>
        <w:ind w:left="709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FF6AE5">
        <w:rPr>
          <w:rFonts w:asciiTheme="majorHAnsi" w:hAnsiTheme="majorHAnsi" w:cstheme="majorHAnsi"/>
          <w:b w:val="0"/>
          <w:sz w:val="22"/>
          <w:szCs w:val="22"/>
        </w:rPr>
        <w:t xml:space="preserve">Zamknięcie kapsułek </w:t>
      </w:r>
    </w:p>
    <w:p w14:paraId="06CC6CF6" w14:textId="77777777" w:rsidR="00FF6AE5" w:rsidRPr="00FF6AE5" w:rsidRDefault="00FF6AE5" w:rsidP="00FF6AE5">
      <w:pPr>
        <w:pStyle w:val="Styl2"/>
        <w:numPr>
          <w:ilvl w:val="0"/>
          <w:numId w:val="5"/>
        </w:numPr>
        <w:ind w:left="709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FF6AE5">
        <w:rPr>
          <w:rFonts w:asciiTheme="majorHAnsi" w:hAnsiTheme="majorHAnsi" w:cstheme="majorHAnsi"/>
          <w:b w:val="0"/>
          <w:sz w:val="22"/>
          <w:szCs w:val="22"/>
        </w:rPr>
        <w:t>100% kontrola masy wypełnienia (kontrola wypełnienia każdej pojedynczej kapsułki)</w:t>
      </w:r>
    </w:p>
    <w:p w14:paraId="6B7CCAAB" w14:textId="77777777" w:rsidR="00FF6AE5" w:rsidRPr="00FF6AE5" w:rsidRDefault="00FF6AE5" w:rsidP="00FF6AE5">
      <w:pPr>
        <w:pStyle w:val="Styl2"/>
        <w:numPr>
          <w:ilvl w:val="0"/>
          <w:numId w:val="0"/>
        </w:numPr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FF6AE5">
        <w:rPr>
          <w:rFonts w:asciiTheme="majorHAnsi" w:hAnsiTheme="majorHAnsi" w:cstheme="majorHAnsi"/>
          <w:b w:val="0"/>
          <w:sz w:val="22"/>
          <w:szCs w:val="22"/>
        </w:rPr>
        <w:t xml:space="preserve">Urządzenie powinno umożliwiać pracę z proszkami o różnej charakterystyce fizykochemicznej w tym materiałami </w:t>
      </w:r>
      <w:proofErr w:type="spellStart"/>
      <w:r w:rsidRPr="00FF6AE5">
        <w:rPr>
          <w:rFonts w:asciiTheme="majorHAnsi" w:hAnsiTheme="majorHAnsi" w:cstheme="majorHAnsi"/>
          <w:b w:val="0"/>
          <w:sz w:val="22"/>
          <w:szCs w:val="22"/>
        </w:rPr>
        <w:t>mikronizowanymi</w:t>
      </w:r>
      <w:proofErr w:type="spellEnd"/>
      <w:r w:rsidRPr="00FF6AE5">
        <w:rPr>
          <w:rFonts w:asciiTheme="majorHAnsi" w:hAnsiTheme="majorHAnsi" w:cstheme="majorHAnsi"/>
          <w:b w:val="0"/>
          <w:sz w:val="22"/>
          <w:szCs w:val="22"/>
        </w:rPr>
        <w:t xml:space="preserve"> (materiały kohezyjne) oraz mieszaninami proszków pochodzenia organicznego i nieorganicznego o zróżnicowanym rozdrobnieniu.</w:t>
      </w:r>
    </w:p>
    <w:p w14:paraId="2D77EFE4" w14:textId="281E3155" w:rsidR="00FF6AE5" w:rsidRPr="00FF6AE5" w:rsidRDefault="00FF6AE5" w:rsidP="00FF6AE5">
      <w:pPr>
        <w:pStyle w:val="Styl2"/>
        <w:numPr>
          <w:ilvl w:val="0"/>
          <w:numId w:val="0"/>
        </w:numPr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FF6AE5">
        <w:rPr>
          <w:rFonts w:asciiTheme="majorHAnsi" w:hAnsiTheme="majorHAnsi" w:cstheme="majorHAnsi"/>
          <w:b w:val="0"/>
          <w:sz w:val="22"/>
          <w:szCs w:val="22"/>
        </w:rPr>
        <w:t>Urządzenie ma mieć odpowiednią wydajność dla produkcji serii produktów komercyjnych. Wymagana docelowa wydajność maszyny - 100.000 kapsułek/h. Urządzeni</w:t>
      </w:r>
      <w:r w:rsidR="005776FE">
        <w:rPr>
          <w:rFonts w:asciiTheme="majorHAnsi" w:hAnsiTheme="majorHAnsi" w:cstheme="majorHAnsi"/>
          <w:b w:val="0"/>
          <w:sz w:val="22"/>
          <w:szCs w:val="22"/>
        </w:rPr>
        <w:t>e</w:t>
      </w:r>
      <w:r w:rsidRPr="00FF6AE5">
        <w:rPr>
          <w:rFonts w:asciiTheme="majorHAnsi" w:hAnsiTheme="majorHAnsi" w:cstheme="majorHAnsi"/>
          <w:b w:val="0"/>
          <w:sz w:val="22"/>
          <w:szCs w:val="22"/>
        </w:rPr>
        <w:t xml:space="preserve"> musi mieć </w:t>
      </w:r>
      <w:r w:rsidR="005776FE">
        <w:rPr>
          <w:rFonts w:asciiTheme="majorHAnsi" w:hAnsiTheme="majorHAnsi" w:cstheme="majorHAnsi"/>
          <w:b w:val="0"/>
          <w:sz w:val="22"/>
          <w:szCs w:val="22"/>
        </w:rPr>
        <w:t xml:space="preserve">jednak </w:t>
      </w:r>
      <w:r w:rsidRPr="00FF6AE5">
        <w:rPr>
          <w:rFonts w:asciiTheme="majorHAnsi" w:hAnsiTheme="majorHAnsi" w:cstheme="majorHAnsi"/>
          <w:b w:val="0"/>
          <w:sz w:val="22"/>
          <w:szCs w:val="22"/>
        </w:rPr>
        <w:t>możliwość pracy w zakresie 6-100 tysięcy kapsułek na godzinę.</w:t>
      </w:r>
    </w:p>
    <w:p w14:paraId="6D3ADBB6" w14:textId="77777777" w:rsidR="00FF6AE5" w:rsidRPr="00FF6AE5" w:rsidRDefault="00FF6AE5" w:rsidP="00FF6AE5">
      <w:pPr>
        <w:pStyle w:val="Styl2"/>
        <w:numPr>
          <w:ilvl w:val="0"/>
          <w:numId w:val="0"/>
        </w:numPr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FF6AE5">
        <w:rPr>
          <w:rFonts w:asciiTheme="majorHAnsi" w:hAnsiTheme="majorHAnsi" w:cstheme="majorHAnsi"/>
          <w:b w:val="0"/>
          <w:sz w:val="22"/>
          <w:szCs w:val="22"/>
        </w:rPr>
        <w:t xml:space="preserve">Urządzenie musi mieć możliwość doposażenia w głowicę do dozowania </w:t>
      </w:r>
      <w:proofErr w:type="spellStart"/>
      <w:r w:rsidRPr="00FF6AE5">
        <w:rPr>
          <w:rFonts w:asciiTheme="majorHAnsi" w:hAnsiTheme="majorHAnsi" w:cstheme="majorHAnsi"/>
          <w:b w:val="0"/>
          <w:sz w:val="22"/>
          <w:szCs w:val="22"/>
        </w:rPr>
        <w:t>niekompresowalnych</w:t>
      </w:r>
      <w:proofErr w:type="spellEnd"/>
      <w:r w:rsidRPr="00FF6AE5">
        <w:rPr>
          <w:rFonts w:asciiTheme="majorHAnsi" w:hAnsiTheme="majorHAnsi" w:cstheme="majorHAnsi"/>
          <w:b w:val="0"/>
          <w:sz w:val="22"/>
          <w:szCs w:val="22"/>
        </w:rPr>
        <w:t xml:space="preserve">  </w:t>
      </w:r>
      <w:proofErr w:type="spellStart"/>
      <w:r w:rsidRPr="00FF6AE5">
        <w:rPr>
          <w:rFonts w:asciiTheme="majorHAnsi" w:hAnsiTheme="majorHAnsi" w:cstheme="majorHAnsi"/>
          <w:b w:val="0"/>
          <w:sz w:val="22"/>
          <w:szCs w:val="22"/>
        </w:rPr>
        <w:t>mikrodoz</w:t>
      </w:r>
      <w:proofErr w:type="spellEnd"/>
      <w:r w:rsidRPr="00FF6AE5">
        <w:rPr>
          <w:rFonts w:asciiTheme="majorHAnsi" w:hAnsiTheme="majorHAnsi" w:cstheme="majorHAnsi"/>
          <w:b w:val="0"/>
          <w:sz w:val="22"/>
          <w:szCs w:val="22"/>
        </w:rPr>
        <w:t xml:space="preserve"> za pomocą dozowników.</w:t>
      </w:r>
    </w:p>
    <w:p w14:paraId="060BC5D0" w14:textId="77777777" w:rsidR="00FF6AE5" w:rsidRPr="00FF6AE5" w:rsidRDefault="00FF6AE5" w:rsidP="00FF6AE5">
      <w:pPr>
        <w:pStyle w:val="Styl2"/>
        <w:numPr>
          <w:ilvl w:val="0"/>
          <w:numId w:val="0"/>
        </w:numPr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FF6AE5">
        <w:rPr>
          <w:rFonts w:asciiTheme="majorHAnsi" w:hAnsiTheme="majorHAnsi" w:cstheme="majorHAnsi"/>
          <w:b w:val="0"/>
          <w:sz w:val="22"/>
          <w:szCs w:val="22"/>
        </w:rPr>
        <w:t>Podczas projektowania i budowy urządzenia muszą być wzięte pod uwagę następujące wymagania/wytyczne/normy:</w:t>
      </w:r>
    </w:p>
    <w:p w14:paraId="0CB0773C" w14:textId="77777777" w:rsidR="00FF6AE5" w:rsidRPr="00FF6AE5" w:rsidRDefault="00FF6AE5" w:rsidP="005776FE">
      <w:pPr>
        <w:pStyle w:val="Styl2"/>
        <w:numPr>
          <w:ilvl w:val="1"/>
          <w:numId w:val="13"/>
        </w:numPr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FF6AE5">
        <w:rPr>
          <w:rFonts w:asciiTheme="majorHAnsi" w:hAnsiTheme="majorHAnsi" w:cstheme="majorHAnsi"/>
          <w:b w:val="0"/>
          <w:sz w:val="22"/>
          <w:szCs w:val="22"/>
        </w:rPr>
        <w:lastRenderedPageBreak/>
        <w:t>21 CFR część 210</w:t>
      </w:r>
    </w:p>
    <w:p w14:paraId="68DAF4E3" w14:textId="77777777" w:rsidR="00FF6AE5" w:rsidRPr="00FF6AE5" w:rsidRDefault="00FF6AE5" w:rsidP="005776FE">
      <w:pPr>
        <w:pStyle w:val="Styl2"/>
        <w:numPr>
          <w:ilvl w:val="1"/>
          <w:numId w:val="13"/>
        </w:numPr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FF6AE5">
        <w:rPr>
          <w:rFonts w:asciiTheme="majorHAnsi" w:hAnsiTheme="majorHAnsi" w:cstheme="majorHAnsi"/>
          <w:b w:val="0"/>
          <w:sz w:val="22"/>
          <w:szCs w:val="22"/>
        </w:rPr>
        <w:t>21 CFR część 211</w:t>
      </w:r>
    </w:p>
    <w:p w14:paraId="32F19C3B" w14:textId="77777777" w:rsidR="00FF6AE5" w:rsidRPr="00FF6AE5" w:rsidRDefault="00FF6AE5" w:rsidP="005776FE">
      <w:pPr>
        <w:pStyle w:val="Styl2"/>
        <w:numPr>
          <w:ilvl w:val="1"/>
          <w:numId w:val="13"/>
        </w:numPr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FF6AE5">
        <w:rPr>
          <w:rFonts w:asciiTheme="majorHAnsi" w:hAnsiTheme="majorHAnsi" w:cstheme="majorHAnsi"/>
          <w:b w:val="0"/>
          <w:sz w:val="22"/>
          <w:szCs w:val="22"/>
        </w:rPr>
        <w:t>21 CFR część 11</w:t>
      </w:r>
    </w:p>
    <w:p w14:paraId="7A034F42" w14:textId="77777777" w:rsidR="00FF6AE5" w:rsidRPr="00FF6AE5" w:rsidRDefault="00FF6AE5" w:rsidP="005776FE">
      <w:pPr>
        <w:pStyle w:val="Styl2"/>
        <w:numPr>
          <w:ilvl w:val="1"/>
          <w:numId w:val="13"/>
        </w:numPr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FF6AE5">
        <w:rPr>
          <w:rFonts w:asciiTheme="majorHAnsi" w:hAnsiTheme="majorHAnsi" w:cstheme="majorHAnsi"/>
          <w:b w:val="0"/>
          <w:sz w:val="22"/>
          <w:szCs w:val="22"/>
        </w:rPr>
        <w:t>GAMP</w:t>
      </w:r>
    </w:p>
    <w:p w14:paraId="6C049048" w14:textId="77777777" w:rsidR="00FF6AE5" w:rsidRPr="00FF6AE5" w:rsidRDefault="00FF6AE5" w:rsidP="005776FE">
      <w:pPr>
        <w:pStyle w:val="Styl2"/>
        <w:numPr>
          <w:ilvl w:val="1"/>
          <w:numId w:val="13"/>
        </w:numPr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FF6AE5">
        <w:rPr>
          <w:rFonts w:asciiTheme="majorHAnsi" w:hAnsiTheme="majorHAnsi" w:cstheme="majorHAnsi"/>
          <w:b w:val="0"/>
          <w:sz w:val="22"/>
          <w:szCs w:val="22"/>
        </w:rPr>
        <w:t>GMP</w:t>
      </w:r>
    </w:p>
    <w:p w14:paraId="4477BA1F" w14:textId="32424A7A" w:rsidR="00FF6AE5" w:rsidRPr="00FF6AE5" w:rsidRDefault="00FF6AE5" w:rsidP="005776FE">
      <w:pPr>
        <w:pStyle w:val="Styl2"/>
        <w:numPr>
          <w:ilvl w:val="1"/>
          <w:numId w:val="13"/>
        </w:numPr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FF6AE5">
        <w:rPr>
          <w:rFonts w:asciiTheme="majorHAnsi" w:hAnsiTheme="majorHAnsi" w:cstheme="majorHAnsi"/>
          <w:b w:val="0"/>
          <w:sz w:val="22"/>
          <w:szCs w:val="22"/>
        </w:rPr>
        <w:t>2014/31/UE</w:t>
      </w:r>
    </w:p>
    <w:p w14:paraId="7A2F0912" w14:textId="6C8F19C7" w:rsidR="008E7216" w:rsidRDefault="008E7216" w:rsidP="002228FC">
      <w:pPr>
        <w:rPr>
          <w:rFonts w:asciiTheme="majorHAnsi" w:hAnsiTheme="majorHAnsi" w:cstheme="majorHAnsi"/>
          <w:sz w:val="22"/>
          <w:szCs w:val="22"/>
          <w:lang w:val="pl-PL"/>
        </w:rPr>
      </w:pPr>
    </w:p>
    <w:p w14:paraId="48DCC5AA" w14:textId="121900D9" w:rsidR="005776FE" w:rsidRPr="005776FE" w:rsidRDefault="005776FE" w:rsidP="005776FE">
      <w:pPr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</w:pPr>
      <w:r w:rsidRPr="005776FE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>SPECYFIKACJA URZĄDZENIA</w:t>
      </w:r>
    </w:p>
    <w:p w14:paraId="57C1C0E3" w14:textId="77777777" w:rsidR="005776FE" w:rsidRDefault="005776FE" w:rsidP="002228FC">
      <w:pPr>
        <w:rPr>
          <w:rFonts w:asciiTheme="majorHAnsi" w:hAnsiTheme="majorHAnsi" w:cstheme="majorHAnsi"/>
          <w:sz w:val="22"/>
          <w:szCs w:val="22"/>
          <w:lang w:val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3402"/>
      </w:tblGrid>
      <w:tr w:rsidR="002616C4" w:rsidRPr="00FE7354" w14:paraId="0FA51CE5" w14:textId="2D9CAE9D" w:rsidTr="002616C4">
        <w:trPr>
          <w:jc w:val="center"/>
        </w:trPr>
        <w:tc>
          <w:tcPr>
            <w:tcW w:w="704" w:type="dxa"/>
            <w:shd w:val="clear" w:color="auto" w:fill="E36C0A"/>
            <w:vAlign w:val="center"/>
          </w:tcPr>
          <w:p w14:paraId="16AE1D02" w14:textId="176499A2" w:rsidR="002616C4" w:rsidRPr="00582017" w:rsidRDefault="002616C4" w:rsidP="00FF6AE5">
            <w:pPr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4678" w:type="dxa"/>
            <w:shd w:val="clear" w:color="auto" w:fill="E36C0A"/>
            <w:vAlign w:val="center"/>
          </w:tcPr>
          <w:p w14:paraId="494DB34E" w14:textId="42D5947B" w:rsidR="002616C4" w:rsidRPr="00582017" w:rsidRDefault="002616C4" w:rsidP="002214F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2017"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  <w:lang w:val="pl-PL" w:eastAsia="pl-PL"/>
              </w:rPr>
              <w:t>Wymagane parametry</w:t>
            </w:r>
          </w:p>
        </w:tc>
        <w:tc>
          <w:tcPr>
            <w:tcW w:w="3402" w:type="dxa"/>
            <w:shd w:val="clear" w:color="auto" w:fill="E36C0A"/>
          </w:tcPr>
          <w:p w14:paraId="6EE38F9B" w14:textId="1DC057FD" w:rsidR="002616C4" w:rsidRPr="00582017" w:rsidRDefault="002616C4" w:rsidP="002214F0">
            <w:pPr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  <w:lang w:val="pl-PL" w:eastAsia="pl-PL"/>
              </w:rPr>
              <w:t>Parametry oferowanego towaru (wypełnia Oferent)</w:t>
            </w:r>
          </w:p>
        </w:tc>
      </w:tr>
      <w:tr w:rsidR="002616C4" w:rsidRPr="00FF4B0A" w14:paraId="5AE125F3" w14:textId="2B090D98" w:rsidTr="002616C4">
        <w:trPr>
          <w:jc w:val="center"/>
        </w:trPr>
        <w:tc>
          <w:tcPr>
            <w:tcW w:w="704" w:type="dxa"/>
          </w:tcPr>
          <w:p w14:paraId="416F8747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218D98A7" w14:textId="446225AA" w:rsidR="002616C4" w:rsidRPr="009B611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9B6116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Urządzenie musi dozować proszki do kapsułek twardych z wydajnością nominalną 100.000 kapsułek/h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155B436F" w14:textId="77777777" w:rsidR="002616C4" w:rsidRPr="009B611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4EA5E0CD" w14:textId="6936AA2D" w:rsidTr="002616C4">
        <w:trPr>
          <w:jc w:val="center"/>
        </w:trPr>
        <w:tc>
          <w:tcPr>
            <w:tcW w:w="704" w:type="dxa"/>
          </w:tcPr>
          <w:p w14:paraId="5FB3EACF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1443FBB7" w14:textId="113F4C63" w:rsidR="002616C4" w:rsidRPr="009B611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9B6116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Urządzenie musi pracować w oparciu o system dozatorów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712B6AAB" w14:textId="77777777" w:rsidR="002616C4" w:rsidRPr="009B611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6B777FE1" w14:textId="29A818A9" w:rsidTr="002616C4">
        <w:trPr>
          <w:jc w:val="center"/>
        </w:trPr>
        <w:tc>
          <w:tcPr>
            <w:tcW w:w="704" w:type="dxa"/>
          </w:tcPr>
          <w:p w14:paraId="58595935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76C031D9" w14:textId="4AAE0695" w:rsidR="002616C4" w:rsidRPr="009B611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9B6116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Poziom dozowanego produktu musi być kontrolowany elektronicznie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30C6CCA9" w14:textId="77777777" w:rsidR="002616C4" w:rsidRPr="009B611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39A92BB9" w14:textId="55A62AE3" w:rsidTr="002616C4">
        <w:trPr>
          <w:jc w:val="center"/>
        </w:trPr>
        <w:tc>
          <w:tcPr>
            <w:tcW w:w="704" w:type="dxa"/>
          </w:tcPr>
          <w:p w14:paraId="57ECE2A3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35BF7BE1" w14:textId="6E1C80E3" w:rsidR="002616C4" w:rsidRPr="009B611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9B6116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Puste kapsułki muszą być pneumatycznie podawane do urządzenia, orientowane, otwierane, napełniane, prawidłowo zamknięte oraz wyrzucone z maszyny. Urządzenie nie powinno uszkadzać kapsułek na żadnym etapie pracy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62C828D8" w14:textId="77777777" w:rsidR="002616C4" w:rsidRPr="009B611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341075EF" w14:textId="33D3D344" w:rsidTr="002616C4">
        <w:trPr>
          <w:jc w:val="center"/>
        </w:trPr>
        <w:tc>
          <w:tcPr>
            <w:tcW w:w="704" w:type="dxa"/>
          </w:tcPr>
          <w:p w14:paraId="158098F1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01780955" w14:textId="0CA5AB6C" w:rsidR="002616C4" w:rsidRPr="009B611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9B6116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Urządzenie musi zapewnić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,</w:t>
            </w:r>
            <w:r w:rsidRPr="009B6116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że ten sam korpus i wieczko (body i cap) kapsułki będą prowadzone przez maszynę od otwarcia do zamknięcia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605CA7A6" w14:textId="77777777" w:rsidR="002616C4" w:rsidRPr="009B611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41A0F855" w14:textId="5D98843D" w:rsidTr="002616C4">
        <w:trPr>
          <w:jc w:val="center"/>
        </w:trPr>
        <w:tc>
          <w:tcPr>
            <w:tcW w:w="704" w:type="dxa"/>
          </w:tcPr>
          <w:p w14:paraId="41E061AC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580FD228" w14:textId="39C31912" w:rsidR="002616C4" w:rsidRPr="009B611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9B6116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Urządzenie musi zapewnić automatyczne czyszczenie/przedmuchiwanie zespołu podawania pustych kapsułek w przypadku powstania zatorów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3F15F872" w14:textId="77777777" w:rsidR="002616C4" w:rsidRPr="009B611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04E51DAE" w14:textId="48E8F08D" w:rsidTr="002616C4">
        <w:trPr>
          <w:jc w:val="center"/>
        </w:trPr>
        <w:tc>
          <w:tcPr>
            <w:tcW w:w="704" w:type="dxa"/>
          </w:tcPr>
          <w:p w14:paraId="0811E9B9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324001A6" w14:textId="4DAB254F" w:rsidR="002616C4" w:rsidRPr="009B611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7D3F0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Urządzenie powinno wykrywać nieprawidłowo otwarte kapsułki i nie dozować do takich kapsułek proszku. W przypadku powtarzającego się problem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</w:t>
            </w:r>
            <w:r w:rsidRPr="007D3F0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urządzenie musi 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się </w:t>
            </w:r>
            <w:r w:rsidRPr="007D3F0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zatrzymać zgłaszając odpowiedni alarm.</w:t>
            </w:r>
          </w:p>
        </w:tc>
        <w:tc>
          <w:tcPr>
            <w:tcW w:w="3402" w:type="dxa"/>
          </w:tcPr>
          <w:p w14:paraId="2B612179" w14:textId="77777777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3629AB5E" w14:textId="484DE70A" w:rsidTr="002616C4">
        <w:trPr>
          <w:jc w:val="center"/>
        </w:trPr>
        <w:tc>
          <w:tcPr>
            <w:tcW w:w="704" w:type="dxa"/>
          </w:tcPr>
          <w:p w14:paraId="263E3E57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3CEA4CAC" w14:textId="0538943B" w:rsidR="002616C4" w:rsidRPr="009B611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7D3F0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Urządzenie powinno wykryć brak wieczka (cap) i odrzucić prawidłowo napełniony korpus (body) przed wyrzutem do prawidłowo wytworzonych kapsułek. W przypadku powtarzającego się problem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</w:t>
            </w:r>
            <w:r w:rsidRPr="007D3F0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urządzenie musi zatrzymać się zgłaszając odpowiedni alarm.</w:t>
            </w:r>
          </w:p>
        </w:tc>
        <w:tc>
          <w:tcPr>
            <w:tcW w:w="3402" w:type="dxa"/>
          </w:tcPr>
          <w:p w14:paraId="6FA53A6E" w14:textId="77777777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35F1649A" w14:textId="30BF78F6" w:rsidTr="002616C4">
        <w:trPr>
          <w:jc w:val="center"/>
        </w:trPr>
        <w:tc>
          <w:tcPr>
            <w:tcW w:w="704" w:type="dxa"/>
          </w:tcPr>
          <w:p w14:paraId="1DA999E9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0E82481B" w14:textId="27890B46" w:rsidR="002616C4" w:rsidRPr="009B611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7D3F0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Urządzenie musi być wyposażone w 100% zintegrowany system kontroli masy wypełnienia kapsułek. System ten musi być zdolny do sprawdzenia wagi netto wypełnienia każdej pojedynczej kapsułki również w przypadku niskich dawek. Waga wchodząca w skład systemu powinna posiadać deklarację zgodności UE.</w:t>
            </w:r>
          </w:p>
        </w:tc>
        <w:tc>
          <w:tcPr>
            <w:tcW w:w="3402" w:type="dxa"/>
          </w:tcPr>
          <w:p w14:paraId="3C903788" w14:textId="77777777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165CCB4F" w14:textId="03AF1ECC" w:rsidTr="002616C4">
        <w:trPr>
          <w:jc w:val="center"/>
        </w:trPr>
        <w:tc>
          <w:tcPr>
            <w:tcW w:w="704" w:type="dxa"/>
          </w:tcPr>
          <w:p w14:paraId="00853A5A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121C3177" w14:textId="50B854ED" w:rsidR="002616C4" w:rsidRPr="009B611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7D3F0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System kontroli masy powinien pozwolić na automatyczne regulowanie parametrów procesu tak aby zawsze utrzymywać masę dozowanego proszku jak najbliżej zadanego w recepturze celu.</w:t>
            </w:r>
          </w:p>
        </w:tc>
        <w:tc>
          <w:tcPr>
            <w:tcW w:w="3402" w:type="dxa"/>
          </w:tcPr>
          <w:p w14:paraId="703D2909" w14:textId="77777777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01CB45FF" w14:textId="755C2F8F" w:rsidTr="002616C4">
        <w:trPr>
          <w:jc w:val="center"/>
        </w:trPr>
        <w:tc>
          <w:tcPr>
            <w:tcW w:w="704" w:type="dxa"/>
          </w:tcPr>
          <w:p w14:paraId="55893CC0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0CEC87FE" w14:textId="1C5FE4DB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7D3F0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Zintegrowany system kontroli masy powinien automatycznie korelować zebrane informacje dotyczące mas z odpowiednim dozatorem. Urządzenie powinno się zatrzymać i zgłosić odpowiedni alarm jeśli pojedynczy dozator produkuje kapsułki poza zadanymi w recepturze limitami.</w:t>
            </w:r>
          </w:p>
        </w:tc>
        <w:tc>
          <w:tcPr>
            <w:tcW w:w="3402" w:type="dxa"/>
          </w:tcPr>
          <w:p w14:paraId="6C99735D" w14:textId="77777777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6390924B" w14:textId="55EB9EB6" w:rsidTr="002616C4">
        <w:trPr>
          <w:jc w:val="center"/>
        </w:trPr>
        <w:tc>
          <w:tcPr>
            <w:tcW w:w="704" w:type="dxa"/>
          </w:tcPr>
          <w:p w14:paraId="09941A15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11B9548C" w14:textId="5986F937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7D3F0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Maszyna powinna mieć możliwość zmniejszenia wydajności poprzez ograniczenie ilości zamontowanej na niej części np. 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m</w:t>
            </w:r>
            <w:r w:rsidRPr="007D3F0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niejsza ilość dozatorów. Urządzenie powinno zapewnić możliwość pracy w zakresie 6.000-100.000 kapsułek/h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4B34838F" w14:textId="77777777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37090776" w14:textId="38A7DDD1" w:rsidTr="002616C4">
        <w:trPr>
          <w:jc w:val="center"/>
        </w:trPr>
        <w:tc>
          <w:tcPr>
            <w:tcW w:w="704" w:type="dxa"/>
          </w:tcPr>
          <w:p w14:paraId="64E71668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105383BA" w14:textId="45BAD660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8E34A6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Urządzenie może być obsługiwane przez jednego operatora. Wszelkie usterki związane z bezpieczeństwem muszą powodować natychmiastowe zatrzymanie maszyny. Urządzenie nie może uruchomić się ponownie bez interwencji operatora.</w:t>
            </w:r>
          </w:p>
        </w:tc>
        <w:tc>
          <w:tcPr>
            <w:tcW w:w="3402" w:type="dxa"/>
          </w:tcPr>
          <w:p w14:paraId="1AF55EBD" w14:textId="77777777" w:rsidR="002616C4" w:rsidRPr="008E34A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6F54680E" w14:textId="52403AE5" w:rsidTr="002616C4">
        <w:trPr>
          <w:jc w:val="center"/>
        </w:trPr>
        <w:tc>
          <w:tcPr>
            <w:tcW w:w="704" w:type="dxa"/>
          </w:tcPr>
          <w:p w14:paraId="2CF1BB31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50A71ADF" w14:textId="0AAA3989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Urządzenie musi sygnalizować sytuacje alarmowe i ostrzegawcze informujące operatora o stanie urządzenie i zaistniałych problemach w sposób widoczny dla operatora (wizualnie i akustycznie)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052052EA" w14:textId="77777777" w:rsidR="002616C4" w:rsidRPr="000164E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0ED95D44" w14:textId="441987D1" w:rsidTr="002616C4">
        <w:trPr>
          <w:jc w:val="center"/>
        </w:trPr>
        <w:tc>
          <w:tcPr>
            <w:tcW w:w="704" w:type="dxa"/>
          </w:tcPr>
          <w:p w14:paraId="6F2D1911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58E3A91B" w14:textId="77777777" w:rsidR="002616C4" w:rsidRPr="000164E9" w:rsidRDefault="002616C4" w:rsidP="000164E9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Urządzenie musi automatycznie zatrzymać pracę w przypadku wystąpienia następujących alarmów:</w:t>
            </w:r>
          </w:p>
          <w:p w14:paraId="30DB4A20" w14:textId="121C7E3E" w:rsidR="002616C4" w:rsidRPr="000164E9" w:rsidRDefault="002616C4" w:rsidP="000164E9">
            <w:pPr>
              <w:pStyle w:val="Bezodstpw"/>
              <w:numPr>
                <w:ilvl w:val="0"/>
                <w:numId w:val="8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Bezpieczeństwo</w:t>
            </w:r>
          </w:p>
          <w:p w14:paraId="67B774E1" w14:textId="3086FF1A" w:rsidR="002616C4" w:rsidRPr="000164E9" w:rsidRDefault="002616C4" w:rsidP="000164E9">
            <w:pPr>
              <w:pStyle w:val="Bezodstpw"/>
              <w:numPr>
                <w:ilvl w:val="0"/>
                <w:numId w:val="8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Brak kapsułek</w:t>
            </w:r>
          </w:p>
          <w:p w14:paraId="040BD1FB" w14:textId="5AC7DA7F" w:rsidR="002616C4" w:rsidRPr="000164E9" w:rsidRDefault="002616C4" w:rsidP="000164E9">
            <w:pPr>
              <w:pStyle w:val="Bezodstpw"/>
              <w:numPr>
                <w:ilvl w:val="0"/>
                <w:numId w:val="8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Brak produktu</w:t>
            </w:r>
          </w:p>
          <w:p w14:paraId="54832F6C" w14:textId="4A699FFA" w:rsidR="002616C4" w:rsidRPr="000164E9" w:rsidRDefault="002616C4" w:rsidP="000164E9">
            <w:pPr>
              <w:pStyle w:val="Bezodstpw"/>
              <w:numPr>
                <w:ilvl w:val="0"/>
                <w:numId w:val="8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Nieodpowiednie parametry mediów 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np.</w:t>
            </w: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sprężonego powietrza, próżni etc.</w:t>
            </w:r>
          </w:p>
          <w:p w14:paraId="47BF26A3" w14:textId="6A026E89" w:rsidR="002616C4" w:rsidRPr="000164E9" w:rsidRDefault="002616C4" w:rsidP="000164E9">
            <w:pPr>
              <w:pStyle w:val="Bezodstpw"/>
              <w:numPr>
                <w:ilvl w:val="0"/>
                <w:numId w:val="8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Awaria system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</w:t>
            </w: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komputerowego</w:t>
            </w:r>
          </w:p>
          <w:p w14:paraId="0B3A2458" w14:textId="4B75BF0B" w:rsidR="002616C4" w:rsidRPr="000164E9" w:rsidRDefault="002616C4" w:rsidP="000164E9">
            <w:pPr>
              <w:pStyle w:val="Bezodstpw"/>
              <w:numPr>
                <w:ilvl w:val="0"/>
                <w:numId w:val="8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Kapsułki poza limitem</w:t>
            </w:r>
          </w:p>
          <w:p w14:paraId="3027819C" w14:textId="59321082" w:rsidR="002616C4" w:rsidRPr="007D3F09" w:rsidRDefault="002616C4" w:rsidP="000164E9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Urządzenie musi wymusić reakcję operatora tj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usunięcie przyczyny alarmu, reset komunikatu, ponowne uruchomienie maszyny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227C283B" w14:textId="77777777" w:rsidR="002616C4" w:rsidRPr="000164E9" w:rsidRDefault="002616C4" w:rsidP="000164E9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74B075B8" w14:textId="102027F8" w:rsidTr="002616C4">
        <w:trPr>
          <w:jc w:val="center"/>
        </w:trPr>
        <w:tc>
          <w:tcPr>
            <w:tcW w:w="704" w:type="dxa"/>
          </w:tcPr>
          <w:p w14:paraId="2AD63C8B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18C949ED" w14:textId="77777777" w:rsidR="002616C4" w:rsidRPr="000164E9" w:rsidRDefault="002616C4" w:rsidP="000164E9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Urządzenie musi zgłaszać ostrzeżenia pozwalające na kontunuowanie pracy ale wymagające od operatora reakcji w celu usunięcia stanu ostrzegawczego.</w:t>
            </w:r>
          </w:p>
          <w:p w14:paraId="7D25C017" w14:textId="77777777" w:rsidR="002616C4" w:rsidRPr="000164E9" w:rsidRDefault="002616C4" w:rsidP="000164E9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Główne ostrzeżenia to:</w:t>
            </w:r>
          </w:p>
          <w:p w14:paraId="2C473EFF" w14:textId="44B05BF1" w:rsidR="002616C4" w:rsidRPr="000164E9" w:rsidRDefault="002616C4" w:rsidP="000164E9">
            <w:pPr>
              <w:pStyle w:val="Bezodstpw"/>
              <w:numPr>
                <w:ilvl w:val="0"/>
                <w:numId w:val="9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Niski poziom pustych kapsułek</w:t>
            </w:r>
          </w:p>
          <w:p w14:paraId="77DD60DB" w14:textId="21B57583" w:rsidR="002616C4" w:rsidRPr="007D3F09" w:rsidRDefault="002616C4" w:rsidP="000164E9">
            <w:pPr>
              <w:pStyle w:val="Bezodstpw"/>
              <w:numPr>
                <w:ilvl w:val="0"/>
                <w:numId w:val="9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Niski poziom produktu</w:t>
            </w:r>
          </w:p>
        </w:tc>
        <w:tc>
          <w:tcPr>
            <w:tcW w:w="3402" w:type="dxa"/>
          </w:tcPr>
          <w:p w14:paraId="3CAA01FA" w14:textId="77777777" w:rsidR="002616C4" w:rsidRPr="000164E9" w:rsidRDefault="002616C4" w:rsidP="000164E9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7863FEE1" w14:textId="611AA617" w:rsidTr="002616C4">
        <w:trPr>
          <w:jc w:val="center"/>
        </w:trPr>
        <w:tc>
          <w:tcPr>
            <w:tcW w:w="704" w:type="dxa"/>
          </w:tcPr>
          <w:p w14:paraId="6A852CF2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121A2465" w14:textId="31860F2B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Urządzeniu musi być wyposażone w wyraźnie oznakowany wyłącznik awaryjny zlokalizowany w zasięgu operatora. W wyniku zatrzymania awaryjnego nie może dojść do uszkodzenia maszyny. Nie dopuszcza się ponownego uruchomienia urządzenia bez interwencji operatora.</w:t>
            </w:r>
          </w:p>
        </w:tc>
        <w:tc>
          <w:tcPr>
            <w:tcW w:w="3402" w:type="dxa"/>
          </w:tcPr>
          <w:p w14:paraId="5662AB21" w14:textId="77777777" w:rsidR="002616C4" w:rsidRPr="000164E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21AABEC9" w14:textId="224BE49C" w:rsidTr="002616C4">
        <w:trPr>
          <w:jc w:val="center"/>
        </w:trPr>
        <w:tc>
          <w:tcPr>
            <w:tcW w:w="704" w:type="dxa"/>
          </w:tcPr>
          <w:p w14:paraId="28C484B4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1623B5B3" w14:textId="3A37D3CF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Urządzenie powinno być dostarczone łącznie z kompletnym oprzyrządowaniem do wytwarzania kapsułek w rozmiarze 0 i 3.</w:t>
            </w:r>
          </w:p>
        </w:tc>
        <w:tc>
          <w:tcPr>
            <w:tcW w:w="3402" w:type="dxa"/>
          </w:tcPr>
          <w:p w14:paraId="548E036C" w14:textId="77777777" w:rsidR="002616C4" w:rsidRPr="000164E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4C33BAFF" w14:textId="67261C66" w:rsidTr="002616C4">
        <w:trPr>
          <w:jc w:val="center"/>
        </w:trPr>
        <w:tc>
          <w:tcPr>
            <w:tcW w:w="704" w:type="dxa"/>
          </w:tcPr>
          <w:p w14:paraId="74A0C5CE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15D01A83" w14:textId="77777777" w:rsidR="002616C4" w:rsidRPr="000164E9" w:rsidRDefault="002616C4" w:rsidP="000164E9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Urządzenie zapewni rejestrację minimum następujących danych:</w:t>
            </w:r>
          </w:p>
          <w:p w14:paraId="6B95D453" w14:textId="2170B01C" w:rsidR="002616C4" w:rsidRPr="000164E9" w:rsidRDefault="002616C4" w:rsidP="000164E9">
            <w:pPr>
              <w:pStyle w:val="Bezodstpw"/>
              <w:numPr>
                <w:ilvl w:val="0"/>
                <w:numId w:val="10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lastRenderedPageBreak/>
              <w:t>Identyfikacja serii, data i godzina rozpoczęcia i zakończenia procesu</w:t>
            </w:r>
          </w:p>
          <w:p w14:paraId="6DFF71F4" w14:textId="4CE1BB4E" w:rsidR="002616C4" w:rsidRPr="000164E9" w:rsidRDefault="002616C4" w:rsidP="000164E9">
            <w:pPr>
              <w:pStyle w:val="Bezodstpw"/>
              <w:numPr>
                <w:ilvl w:val="0"/>
                <w:numId w:val="10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Specyfikacja produktu (nazwa, wielkość kapsułki, docelowa masa wypełnienia, limity kontrolne)</w:t>
            </w:r>
          </w:p>
          <w:p w14:paraId="7BC39CF1" w14:textId="39890441" w:rsidR="002616C4" w:rsidRPr="000164E9" w:rsidRDefault="002616C4" w:rsidP="000164E9">
            <w:pPr>
              <w:pStyle w:val="Bezodstpw"/>
              <w:numPr>
                <w:ilvl w:val="0"/>
                <w:numId w:val="10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Dane operatora</w:t>
            </w:r>
          </w:p>
          <w:p w14:paraId="1A68BAC5" w14:textId="35FE18CA" w:rsidR="002616C4" w:rsidRPr="000164E9" w:rsidRDefault="002616C4" w:rsidP="000164E9">
            <w:pPr>
              <w:pStyle w:val="Bezodstpw"/>
              <w:numPr>
                <w:ilvl w:val="0"/>
                <w:numId w:val="10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Konfiguracja maszyny (identyfikatory zainstalowanego oprzyrządowania)</w:t>
            </w:r>
          </w:p>
          <w:p w14:paraId="3ED1DCBA" w14:textId="49144EEA" w:rsidR="002616C4" w:rsidRPr="000164E9" w:rsidRDefault="002616C4" w:rsidP="000164E9">
            <w:pPr>
              <w:pStyle w:val="Bezodstpw"/>
              <w:numPr>
                <w:ilvl w:val="0"/>
                <w:numId w:val="10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Ustawienia maszyny takie jak prędkość oraz ustawienia mające wpływ na dozowanie produktu</w:t>
            </w:r>
          </w:p>
          <w:p w14:paraId="234BD0B4" w14:textId="77777777" w:rsidR="002616C4" w:rsidRDefault="002616C4" w:rsidP="000164E9">
            <w:pPr>
              <w:pStyle w:val="Bezodstpw"/>
              <w:numPr>
                <w:ilvl w:val="0"/>
                <w:numId w:val="10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Dane statystyczne dla serii takie jak średnia waga netto, odchylenia, wartości min/max., ilości dobrych i odrzuconych kapsułek</w:t>
            </w:r>
          </w:p>
          <w:p w14:paraId="41EB59B0" w14:textId="77777777" w:rsidR="002616C4" w:rsidRDefault="002616C4" w:rsidP="000164E9">
            <w:pPr>
              <w:pStyle w:val="Bezodstpw"/>
              <w:numPr>
                <w:ilvl w:val="0"/>
                <w:numId w:val="10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Dane dotyczące dozowników tj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średnia waga netto, min/max, odchylenie standardowe dla każdego pojedy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n</w:t>
            </w: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czego dozatora </w:t>
            </w:r>
          </w:p>
          <w:p w14:paraId="56D164CC" w14:textId="0AF7079A" w:rsidR="002616C4" w:rsidRPr="000164E9" w:rsidRDefault="002616C4" w:rsidP="000164E9">
            <w:pPr>
              <w:pStyle w:val="Bezodstpw"/>
              <w:numPr>
                <w:ilvl w:val="0"/>
                <w:numId w:val="10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Informacje o wykonywanych regulacjach zarówno automatycznych jak i ręcznych wykonanych przez operatora (ścieżka audytu)</w:t>
            </w:r>
          </w:p>
        </w:tc>
        <w:tc>
          <w:tcPr>
            <w:tcW w:w="3402" w:type="dxa"/>
          </w:tcPr>
          <w:p w14:paraId="3C1C70E9" w14:textId="77777777" w:rsidR="002616C4" w:rsidRPr="000164E9" w:rsidRDefault="002616C4" w:rsidP="000164E9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59ECF831" w14:textId="2A247E27" w:rsidTr="002616C4">
        <w:trPr>
          <w:jc w:val="center"/>
        </w:trPr>
        <w:tc>
          <w:tcPr>
            <w:tcW w:w="704" w:type="dxa"/>
          </w:tcPr>
          <w:p w14:paraId="1CC3B756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1B5D1E29" w14:textId="17A50594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Musi być dostępna procedura eksportu danych w standardowym formacie 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np.</w:t>
            </w: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XML w celu wyeksportowania danych do system zewnętrznego.</w:t>
            </w:r>
          </w:p>
        </w:tc>
        <w:tc>
          <w:tcPr>
            <w:tcW w:w="3402" w:type="dxa"/>
          </w:tcPr>
          <w:p w14:paraId="55085A09" w14:textId="77777777" w:rsidR="002616C4" w:rsidRPr="000164E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2B4D6981" w14:textId="3C72EA21" w:rsidTr="002616C4">
        <w:trPr>
          <w:jc w:val="center"/>
        </w:trPr>
        <w:tc>
          <w:tcPr>
            <w:tcW w:w="704" w:type="dxa"/>
          </w:tcPr>
          <w:p w14:paraId="7B004AC9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55420AD0" w14:textId="2D9F75B8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Wszystkie, kluczowe dla procesu czujniki muszą działać w trybie awaryjnym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1F8CCC2E" w14:textId="77777777" w:rsidR="002616C4" w:rsidRPr="000164E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0D918CE2" w14:textId="7781D288" w:rsidTr="002616C4">
        <w:trPr>
          <w:jc w:val="center"/>
        </w:trPr>
        <w:tc>
          <w:tcPr>
            <w:tcW w:w="704" w:type="dxa"/>
          </w:tcPr>
          <w:p w14:paraId="4219580C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4C5E723C" w14:textId="77777777" w:rsidR="002616C4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Wymiary całkowite maszyny (z uwzględnieniem obszarów serwisowych i operacyjnych oraz urządzeń peryferyjnych doprowadzające i odprowadzające np. zbiornik na puste kapsułki) muszą pozwolić na zainstalowanie i obsługę maszyny zgodną z zasadami BHP w pomieszczeniu o wymiarach 7,3m x 3,1m. Urządzenie powinno być zdolne do pracy w środowisku GMP w temperaturze 15-25C i RH 35-65%</w:t>
            </w:r>
            <w:r w:rsidR="00C3656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  <w:p w14:paraId="61538E76" w14:textId="28DC4456" w:rsidR="00C36569" w:rsidRPr="00C36569" w:rsidRDefault="00C36569" w:rsidP="00A90367">
            <w:pPr>
              <w:pStyle w:val="Bezodstpw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pl-PL"/>
              </w:rPr>
            </w:pPr>
            <w:r w:rsidRPr="00C36569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pl-PL"/>
              </w:rPr>
              <w:t xml:space="preserve">Warunek konieczny – urządzenie </w:t>
            </w:r>
            <w:r w:rsidR="00D45D62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pl-PL"/>
              </w:rPr>
              <w:t xml:space="preserve">zmieści się w </w:t>
            </w:r>
            <w:r w:rsidRPr="00C36569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pl-PL"/>
              </w:rPr>
              <w:t xml:space="preserve"> pomieszczeni</w:t>
            </w:r>
            <w:r w:rsidR="00D45D62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pl-PL"/>
              </w:rPr>
              <w:t>u o wymiarach</w:t>
            </w:r>
            <w:r w:rsidRPr="00C36569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pl-PL"/>
              </w:rPr>
              <w:t xml:space="preserve"> 7,3m x 3,1m</w:t>
            </w: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402" w:type="dxa"/>
          </w:tcPr>
          <w:p w14:paraId="4A7692BB" w14:textId="77777777" w:rsidR="002616C4" w:rsidRPr="000164E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7E6B269B" w14:textId="41E7FC5B" w:rsidTr="002616C4">
        <w:trPr>
          <w:jc w:val="center"/>
        </w:trPr>
        <w:tc>
          <w:tcPr>
            <w:tcW w:w="704" w:type="dxa"/>
          </w:tcPr>
          <w:p w14:paraId="1FED0D1B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641C8E9C" w14:textId="57DEE540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0164E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Obszar techniczny maszyny w tym mechaniczny układ napędowy musi być odpowiednio oddzielony od strefy napełniania kapsułek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7BC90286" w14:textId="77777777" w:rsidR="002616C4" w:rsidRPr="000164E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6F9CCB2C" w14:textId="6972DC38" w:rsidTr="002616C4">
        <w:trPr>
          <w:jc w:val="center"/>
        </w:trPr>
        <w:tc>
          <w:tcPr>
            <w:tcW w:w="704" w:type="dxa"/>
          </w:tcPr>
          <w:p w14:paraId="60FA790E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0402E7C7" w14:textId="088FFC68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C54D6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Wszystkie części wymienne maszyny muszą być trwale i wyraźnie oznakowane w celu łatwej identyfikacji do jakiego rozmiaru kapsułki są dedykowane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76772ED3" w14:textId="77777777" w:rsidR="002616C4" w:rsidRPr="00C54D6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1924A9CF" w14:textId="554C56BA" w:rsidTr="002616C4">
        <w:trPr>
          <w:jc w:val="center"/>
        </w:trPr>
        <w:tc>
          <w:tcPr>
            <w:tcW w:w="704" w:type="dxa"/>
          </w:tcPr>
          <w:p w14:paraId="1A5EBCBA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3F7AF4A0" w14:textId="7B79DA92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C54D6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Wokół wszystkich mechanizmów w ruchu, z którymi operator może mieć kontakt w trakcie pracy, muszą być zainstalowane osłony, których otwarcie nie wymaga narzędzi. Drzwi 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i</w:t>
            </w:r>
            <w:r w:rsidRPr="00C54D6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osłony muszą być blokowane za pomocą układu bezpieczeństwa, a czujniki blokady powinny być skonfigurowane tak aby uniemożliwić ich pokonanie lub zablokowanie.</w:t>
            </w:r>
          </w:p>
        </w:tc>
        <w:tc>
          <w:tcPr>
            <w:tcW w:w="3402" w:type="dxa"/>
          </w:tcPr>
          <w:p w14:paraId="6CA803FF" w14:textId="77777777" w:rsidR="002616C4" w:rsidRPr="00C54D6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1B8F176A" w14:textId="04AE3318" w:rsidTr="002616C4">
        <w:trPr>
          <w:jc w:val="center"/>
        </w:trPr>
        <w:tc>
          <w:tcPr>
            <w:tcW w:w="704" w:type="dxa"/>
          </w:tcPr>
          <w:p w14:paraId="7AF50CB3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25F518FA" w14:textId="69A963C2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C54D6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Urządzenia ma być wyposażone w higieniczny panel operatorski. Wszystkie komunikaty muszą być </w:t>
            </w:r>
            <w:r w:rsidRPr="00C54D6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lastRenderedPageBreak/>
              <w:t>wyświetlane w języku polskim, jednostki miary europejskie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j</w:t>
            </w:r>
            <w:r w:rsidRPr="00C54D6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29EAD119" w14:textId="77777777" w:rsidR="002616C4" w:rsidRPr="00C54D6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51A11323" w14:textId="30647A75" w:rsidTr="002616C4">
        <w:trPr>
          <w:jc w:val="center"/>
        </w:trPr>
        <w:tc>
          <w:tcPr>
            <w:tcW w:w="704" w:type="dxa"/>
          </w:tcPr>
          <w:p w14:paraId="54603DD3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0B30AADC" w14:textId="3026CC58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C54D6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Urządzenie musi być połączone z automatycznym/pneumatycznym systemem załadunku pustych kapsułek przenoszącym kapsułki do zbiornika buforowego w maszynie, zapewniającym ciągłość pracy maszyny bez interwencji operatora.</w:t>
            </w:r>
          </w:p>
        </w:tc>
        <w:tc>
          <w:tcPr>
            <w:tcW w:w="3402" w:type="dxa"/>
          </w:tcPr>
          <w:p w14:paraId="19BAB432" w14:textId="77777777" w:rsidR="002616C4" w:rsidRPr="00C54D6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6AC4F659" w14:textId="2A9FA5E7" w:rsidTr="002616C4">
        <w:trPr>
          <w:jc w:val="center"/>
        </w:trPr>
        <w:tc>
          <w:tcPr>
            <w:tcW w:w="704" w:type="dxa"/>
          </w:tcPr>
          <w:p w14:paraId="38D14500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4F50E179" w14:textId="5B49047C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8E755B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Urządzenie musi być zaopatrzone w odpowiedniej wielkości zasobnik do proszku z zainstalowanym czujnikiem poziomu produktu zapewniający ciągłość pracy maszyny przy zapewnieniu interwencji operatora (manualne dosypywanie proszku)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  <w:r w:rsidRPr="008E755B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Urządzenie musi być tak skonfigurowane aby zapewnić operatorowi odpowiedni czas na sprawną interwencję po wyświetleniu ostrzeżenia o niskim poziomie proszku.</w:t>
            </w:r>
          </w:p>
        </w:tc>
        <w:tc>
          <w:tcPr>
            <w:tcW w:w="3402" w:type="dxa"/>
          </w:tcPr>
          <w:p w14:paraId="49AC4A30" w14:textId="77777777" w:rsidR="002616C4" w:rsidRPr="008E755B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23FCD6A1" w14:textId="71A6E0E9" w:rsidTr="002616C4">
        <w:trPr>
          <w:jc w:val="center"/>
        </w:trPr>
        <w:tc>
          <w:tcPr>
            <w:tcW w:w="704" w:type="dxa"/>
          </w:tcPr>
          <w:p w14:paraId="2E6100DC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5A6ABE21" w14:textId="2B55BDBA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8E755B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Urządzenie musi być zintegrowane z detektorem metalu zdolnym wykrywać zanieczyszczenie żelazne, nieżelazne i ze stali nierdzewnej i odrzucać jako wadliwe kapsułki z takimi zanieczyszczeniami.</w:t>
            </w:r>
          </w:p>
        </w:tc>
        <w:tc>
          <w:tcPr>
            <w:tcW w:w="3402" w:type="dxa"/>
          </w:tcPr>
          <w:p w14:paraId="2A0F43CE" w14:textId="77777777" w:rsidR="002616C4" w:rsidRPr="008E755B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5039807B" w14:textId="26A904BD" w:rsidTr="002616C4">
        <w:trPr>
          <w:jc w:val="center"/>
        </w:trPr>
        <w:tc>
          <w:tcPr>
            <w:tcW w:w="704" w:type="dxa"/>
          </w:tcPr>
          <w:p w14:paraId="31C24BD2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05E3958E" w14:textId="6A656EF3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8E755B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W przypadku zatrzymania maszyny głównej, urządzenia pomocnicze powinny zatrzymywać się automatycznie. Detektor metali powinien zatrzymać urządzenie główne w przypadku wykrycia jakiegokolwiek fragmentu metalu.</w:t>
            </w:r>
          </w:p>
        </w:tc>
        <w:tc>
          <w:tcPr>
            <w:tcW w:w="3402" w:type="dxa"/>
          </w:tcPr>
          <w:p w14:paraId="3D278467" w14:textId="77777777" w:rsidR="002616C4" w:rsidRPr="008E755B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31016A4E" w14:textId="300F30AC" w:rsidTr="002616C4">
        <w:trPr>
          <w:jc w:val="center"/>
        </w:trPr>
        <w:tc>
          <w:tcPr>
            <w:tcW w:w="704" w:type="dxa"/>
          </w:tcPr>
          <w:p w14:paraId="12BB8245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3E815F11" w14:textId="2637134B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61662C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Urządzenie musi być dostarczone z kompletnymi i odpowiednimi jednostkami próżniowymi i ssącymi odpowiadającymi za prawidłowe otwarcie pustych kapsułek, wyrzut kapsułek, przedmuchiwanie układu, odprowadzanie pyłu (odkurzanie). Węże od tych jednostek muszą wychodzić od góry urządzenia i umożliwiać ich zainstalowanie na piętrze technicznym zlokalizowanym nad strefą produkcyjną.</w:t>
            </w:r>
          </w:p>
        </w:tc>
        <w:tc>
          <w:tcPr>
            <w:tcW w:w="3402" w:type="dxa"/>
          </w:tcPr>
          <w:p w14:paraId="51CAF460" w14:textId="77777777" w:rsidR="002616C4" w:rsidRPr="0061662C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72CFCBF3" w14:textId="720DE20F" w:rsidTr="002616C4">
        <w:trPr>
          <w:jc w:val="center"/>
        </w:trPr>
        <w:tc>
          <w:tcPr>
            <w:tcW w:w="704" w:type="dxa"/>
          </w:tcPr>
          <w:p w14:paraId="0F717EC6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1019293B" w14:textId="5EFC9E52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61662C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Urządzenie jest przeznaczone do pracy ciągłej 6 dni w tygodniu 3 zmiany w ciągu dnia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19A65BD4" w14:textId="77777777" w:rsidR="002616C4" w:rsidRPr="0061662C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7B0D651B" w14:textId="1E1D8997" w:rsidTr="002616C4">
        <w:trPr>
          <w:jc w:val="center"/>
        </w:trPr>
        <w:tc>
          <w:tcPr>
            <w:tcW w:w="704" w:type="dxa"/>
          </w:tcPr>
          <w:p w14:paraId="76D1A36F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6377CCF0" w14:textId="3EDAB15E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F72A29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Dostawca musi dostarczyć instrukcję, plan oraz czas trwania i zakres konserwacji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6E343AD2" w14:textId="77777777" w:rsidR="002616C4" w:rsidRPr="00F72A2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258CA15F" w14:textId="64C189BD" w:rsidTr="002616C4">
        <w:trPr>
          <w:jc w:val="center"/>
        </w:trPr>
        <w:tc>
          <w:tcPr>
            <w:tcW w:w="704" w:type="dxa"/>
          </w:tcPr>
          <w:p w14:paraId="6F1CE12B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41F71A4B" w14:textId="382376EE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414A9F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Dostawca musi posiadać referencje europejskie najchętniej polskie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6FCE16D0" w14:textId="77777777" w:rsidR="002616C4" w:rsidRPr="00414A9F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4E5DAC6E" w14:textId="504E0CC4" w:rsidTr="002616C4">
        <w:trPr>
          <w:jc w:val="center"/>
        </w:trPr>
        <w:tc>
          <w:tcPr>
            <w:tcW w:w="704" w:type="dxa"/>
          </w:tcPr>
          <w:p w14:paraId="4B768947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1D7D43C2" w14:textId="72118D21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414A9F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Dostawca musi posiadać odpowiedni serwis (reakcja maksymalnie w ciągu 24h) oraz zapewnić wsparcie techniczne po zakończeniu odbiorów urządzenia. Wsparcie techniczne będzie możliwe zdalnie poprzez połączenie sieciowe lub poprzez wizyty serwisantów/techników.</w:t>
            </w:r>
          </w:p>
        </w:tc>
        <w:tc>
          <w:tcPr>
            <w:tcW w:w="3402" w:type="dxa"/>
          </w:tcPr>
          <w:p w14:paraId="5D4CA7EC" w14:textId="77777777" w:rsidR="002616C4" w:rsidRPr="00414A9F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3358AEE1" w14:textId="60D2F813" w:rsidTr="002616C4">
        <w:trPr>
          <w:jc w:val="center"/>
        </w:trPr>
        <w:tc>
          <w:tcPr>
            <w:tcW w:w="704" w:type="dxa"/>
          </w:tcPr>
          <w:p w14:paraId="614B3D25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1E759421" w14:textId="4406C263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414A9F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Dostawca opracuje i przekaże odbiorcy specyfikację funkcjonalną maszyny w terminie 1 miesiąca od złożenia zamówienia.</w:t>
            </w:r>
          </w:p>
        </w:tc>
        <w:tc>
          <w:tcPr>
            <w:tcW w:w="3402" w:type="dxa"/>
          </w:tcPr>
          <w:p w14:paraId="1883EDF6" w14:textId="77777777" w:rsidR="002616C4" w:rsidRPr="00414A9F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0370B7A7" w14:textId="184CAFEA" w:rsidTr="002616C4">
        <w:trPr>
          <w:jc w:val="center"/>
        </w:trPr>
        <w:tc>
          <w:tcPr>
            <w:tcW w:w="704" w:type="dxa"/>
          </w:tcPr>
          <w:p w14:paraId="3F992C20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723E9852" w14:textId="65934FE8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414A9F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W celu weryfikacji działania maszyny zostaną przeprowadzone testy FAT i SAT w obecności i przy udziale odbiorcy. Protokoły testów zostaną przygotowane przez dostawcę i przekazane do odbiorcy </w:t>
            </w:r>
            <w:r w:rsidRPr="00414A9F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lastRenderedPageBreak/>
              <w:t>do akceptacji na minimum 4 tygodnie przed rozpoczęciem testów.</w:t>
            </w:r>
          </w:p>
        </w:tc>
        <w:tc>
          <w:tcPr>
            <w:tcW w:w="3402" w:type="dxa"/>
          </w:tcPr>
          <w:p w14:paraId="51056AAA" w14:textId="77777777" w:rsidR="002616C4" w:rsidRPr="00414A9F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2437163D" w14:textId="57D9E09C" w:rsidTr="002616C4">
        <w:trPr>
          <w:jc w:val="center"/>
        </w:trPr>
        <w:tc>
          <w:tcPr>
            <w:tcW w:w="704" w:type="dxa"/>
          </w:tcPr>
          <w:p w14:paraId="20FFE9B3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14B52A15" w14:textId="1037895A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Dostawca opracuje i przekaże do akceptacji odbiorcy protokoły kwalifikacji IQ i OQ najpóźniej na 4 tygodnie przed testami FAT. Dostawca opracuje i dostarczy odbiorcy w w/w terminie dokumentację DQ dla urządzenia.</w:t>
            </w:r>
          </w:p>
        </w:tc>
        <w:tc>
          <w:tcPr>
            <w:tcW w:w="3402" w:type="dxa"/>
          </w:tcPr>
          <w:p w14:paraId="5C8AAD3E" w14:textId="77777777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6FFDCD96" w14:textId="4F2504EE" w:rsidTr="002616C4">
        <w:trPr>
          <w:jc w:val="center"/>
        </w:trPr>
        <w:tc>
          <w:tcPr>
            <w:tcW w:w="704" w:type="dxa"/>
          </w:tcPr>
          <w:p w14:paraId="548FD432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56EB78B7" w14:textId="77777777" w:rsidR="002616C4" w:rsidRPr="00E93998" w:rsidRDefault="002616C4" w:rsidP="00E93998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Dostawca dostarczy nie później niż w terminie testów FAT następujące dokumenty:</w:t>
            </w:r>
          </w:p>
          <w:p w14:paraId="2282D87B" w14:textId="748F7D1B" w:rsidR="002616C4" w:rsidRPr="00E93998" w:rsidRDefault="002616C4" w:rsidP="00E93998">
            <w:pPr>
              <w:pStyle w:val="Bezodstpw"/>
              <w:numPr>
                <w:ilvl w:val="0"/>
                <w:numId w:val="11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Instrukcję instalacji</w:t>
            </w:r>
          </w:p>
          <w:p w14:paraId="10B799F0" w14:textId="29A9427B" w:rsidR="002616C4" w:rsidRPr="00E93998" w:rsidRDefault="002616C4" w:rsidP="00E93998">
            <w:pPr>
              <w:pStyle w:val="Bezodstpw"/>
              <w:numPr>
                <w:ilvl w:val="0"/>
                <w:numId w:val="11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Instrukcję 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o</w:t>
            </w: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bsługi i czyszczenia</w:t>
            </w:r>
          </w:p>
          <w:p w14:paraId="6E9948F4" w14:textId="0853D07A" w:rsidR="002616C4" w:rsidRPr="00E93998" w:rsidRDefault="002616C4" w:rsidP="00E93998">
            <w:pPr>
              <w:pStyle w:val="Bezodstpw"/>
              <w:numPr>
                <w:ilvl w:val="0"/>
                <w:numId w:val="11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Instrukcję konserwacji</w:t>
            </w:r>
          </w:p>
          <w:p w14:paraId="09909E66" w14:textId="56947CF2" w:rsidR="002616C4" w:rsidRPr="00E93998" w:rsidRDefault="002616C4" w:rsidP="00E93998">
            <w:pPr>
              <w:pStyle w:val="Bezodstpw"/>
              <w:numPr>
                <w:ilvl w:val="0"/>
                <w:numId w:val="11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Podręcznik administrowania systemem</w:t>
            </w:r>
          </w:p>
          <w:p w14:paraId="0C1955F2" w14:textId="7686332F" w:rsidR="002616C4" w:rsidRPr="00E93998" w:rsidRDefault="002616C4" w:rsidP="00E93998">
            <w:pPr>
              <w:pStyle w:val="Bezodstpw"/>
              <w:numPr>
                <w:ilvl w:val="0"/>
                <w:numId w:val="11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Podręcznik Szkoleniowy</w:t>
            </w:r>
          </w:p>
          <w:p w14:paraId="4302E2CE" w14:textId="2B1922C3" w:rsidR="002616C4" w:rsidRPr="00E93998" w:rsidRDefault="002616C4" w:rsidP="00E93998">
            <w:pPr>
              <w:pStyle w:val="Bezodstpw"/>
              <w:numPr>
                <w:ilvl w:val="0"/>
                <w:numId w:val="11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Wykaz części zamiennych wraz z danymi handlowymi (dostawca, numery katalogowe)</w:t>
            </w:r>
          </w:p>
          <w:p w14:paraId="60C3D406" w14:textId="32D10482" w:rsidR="002616C4" w:rsidRPr="00E93998" w:rsidRDefault="002616C4" w:rsidP="00E93998">
            <w:pPr>
              <w:pStyle w:val="Bezodstpw"/>
              <w:numPr>
                <w:ilvl w:val="0"/>
                <w:numId w:val="11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Schemat urządzenia </w:t>
            </w:r>
          </w:p>
          <w:p w14:paraId="53A9C631" w14:textId="336B67ED" w:rsidR="002616C4" w:rsidRPr="00E93998" w:rsidRDefault="002616C4" w:rsidP="00E93998">
            <w:pPr>
              <w:pStyle w:val="Bezodstpw"/>
              <w:numPr>
                <w:ilvl w:val="0"/>
                <w:numId w:val="11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Schemat pneumatyczny</w:t>
            </w:r>
          </w:p>
          <w:p w14:paraId="332521BD" w14:textId="1F3D8518" w:rsidR="002616C4" w:rsidRPr="00E93998" w:rsidRDefault="002616C4" w:rsidP="00E93998">
            <w:pPr>
              <w:pStyle w:val="Bezodstpw"/>
              <w:numPr>
                <w:ilvl w:val="0"/>
                <w:numId w:val="11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Schemat elektryczny</w:t>
            </w:r>
          </w:p>
          <w:p w14:paraId="328C24A1" w14:textId="24F21AF5" w:rsidR="002616C4" w:rsidRPr="00E93998" w:rsidRDefault="002616C4" w:rsidP="00E93998">
            <w:pPr>
              <w:pStyle w:val="Bezodstpw"/>
              <w:numPr>
                <w:ilvl w:val="0"/>
                <w:numId w:val="11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Schemat smarowania</w:t>
            </w:r>
          </w:p>
          <w:p w14:paraId="45660D94" w14:textId="58A14DB1" w:rsidR="002616C4" w:rsidRPr="00E93998" w:rsidRDefault="002616C4" w:rsidP="00E93998">
            <w:pPr>
              <w:pStyle w:val="Bezodstpw"/>
              <w:numPr>
                <w:ilvl w:val="0"/>
                <w:numId w:val="11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Deklaracje zgodności świadectwa kalibracji wagi</w:t>
            </w:r>
          </w:p>
          <w:p w14:paraId="7723BF7A" w14:textId="7DB92561" w:rsidR="002616C4" w:rsidRPr="00E93998" w:rsidRDefault="002616C4" w:rsidP="00E93998">
            <w:pPr>
              <w:pStyle w:val="Bezodstpw"/>
              <w:numPr>
                <w:ilvl w:val="0"/>
                <w:numId w:val="11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Wykaz części mających kontakt z produktem i kapsułkami wraz z powierzchnią i rodzajem materiału oraz certyfikatami materiałowymi</w:t>
            </w:r>
          </w:p>
          <w:p w14:paraId="3175ADEC" w14:textId="770D1D56" w:rsidR="002616C4" w:rsidRPr="00E93998" w:rsidRDefault="002616C4" w:rsidP="00E93998">
            <w:pPr>
              <w:pStyle w:val="Bezodstpw"/>
              <w:numPr>
                <w:ilvl w:val="0"/>
                <w:numId w:val="11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Dokumentacja dla system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</w:t>
            </w: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kontroli wagi</w:t>
            </w:r>
          </w:p>
          <w:p w14:paraId="0A9E014B" w14:textId="3D495432" w:rsidR="002616C4" w:rsidRPr="00E93998" w:rsidRDefault="002616C4" w:rsidP="00E93998">
            <w:pPr>
              <w:pStyle w:val="Bezodstpw"/>
              <w:numPr>
                <w:ilvl w:val="0"/>
                <w:numId w:val="11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Dokumentacja dla detektora metalu</w:t>
            </w:r>
          </w:p>
          <w:p w14:paraId="2CCC6BD0" w14:textId="3D381682" w:rsidR="002616C4" w:rsidRPr="007D3F09" w:rsidRDefault="002616C4" w:rsidP="00E93998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Instrukcja 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o</w:t>
            </w: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bsługi i instalacji wymagana 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jest </w:t>
            </w: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w języku polskim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, natomiast p</w:t>
            </w: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ozostałe dokumenty w języku angielskim.</w:t>
            </w:r>
          </w:p>
        </w:tc>
        <w:tc>
          <w:tcPr>
            <w:tcW w:w="3402" w:type="dxa"/>
          </w:tcPr>
          <w:p w14:paraId="5A3AFD65" w14:textId="77777777" w:rsidR="002616C4" w:rsidRPr="00E93998" w:rsidRDefault="002616C4" w:rsidP="00E93998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23A9AD24" w14:textId="2417EADA" w:rsidTr="002616C4">
        <w:trPr>
          <w:jc w:val="center"/>
        </w:trPr>
        <w:tc>
          <w:tcPr>
            <w:tcW w:w="704" w:type="dxa"/>
          </w:tcPr>
          <w:p w14:paraId="4A4BF841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5F7FADF4" w14:textId="42C8653D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Dostawca przeprowadzi w siedzibie odbiorcy (w ramach testów SAT) szkolenie dla pracowników działu technicznego i działu produkcji z zakresu konserwacji i obsługi urządzenia. Szkolenie powinno obejmować całą linię i trwać minimum 5 dni roboczych.</w:t>
            </w:r>
          </w:p>
        </w:tc>
        <w:tc>
          <w:tcPr>
            <w:tcW w:w="3402" w:type="dxa"/>
          </w:tcPr>
          <w:p w14:paraId="44997AE5" w14:textId="77777777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46276662" w14:textId="4F0C8AE4" w:rsidTr="002616C4">
        <w:trPr>
          <w:jc w:val="center"/>
        </w:trPr>
        <w:tc>
          <w:tcPr>
            <w:tcW w:w="704" w:type="dxa"/>
          </w:tcPr>
          <w:p w14:paraId="136520C9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29A78AA0" w14:textId="015A156A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Dostawca dostarczy urządzenie w terminie nie dłuższym niż 5 miesięcy od chwili złożenia zamówienia. Termin przeprowadzenia testów FAT nie dłuższy niż 4 miesiące od momentu złożenia zamówienia.</w:t>
            </w:r>
          </w:p>
        </w:tc>
        <w:tc>
          <w:tcPr>
            <w:tcW w:w="3402" w:type="dxa"/>
          </w:tcPr>
          <w:p w14:paraId="2F3935A7" w14:textId="77777777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5C02015F" w14:textId="40CC25EE" w:rsidTr="002616C4">
        <w:trPr>
          <w:jc w:val="center"/>
        </w:trPr>
        <w:tc>
          <w:tcPr>
            <w:tcW w:w="704" w:type="dxa"/>
          </w:tcPr>
          <w:p w14:paraId="33A7C8EB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46D3AAC0" w14:textId="4B898C1A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Wymagany okres gwarancji minimum 24 miesiące</w:t>
            </w:r>
          </w:p>
        </w:tc>
        <w:tc>
          <w:tcPr>
            <w:tcW w:w="3402" w:type="dxa"/>
          </w:tcPr>
          <w:p w14:paraId="72D7E244" w14:textId="77777777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48F8611A" w14:textId="5F103D7E" w:rsidTr="002616C4">
        <w:trPr>
          <w:jc w:val="center"/>
        </w:trPr>
        <w:tc>
          <w:tcPr>
            <w:tcW w:w="704" w:type="dxa"/>
          </w:tcPr>
          <w:p w14:paraId="459EEE86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3044E0B8" w14:textId="77777777" w:rsidR="002616C4" w:rsidRPr="00E93998" w:rsidRDefault="002616C4" w:rsidP="00E93998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System kontroli procesu musi na bieżąco pokazywać operatorowi na panelu sterującym minimum następujące informacje:</w:t>
            </w:r>
          </w:p>
          <w:p w14:paraId="5D6DB288" w14:textId="703D3A98" w:rsidR="002616C4" w:rsidRPr="00E93998" w:rsidRDefault="002616C4" w:rsidP="00E93998">
            <w:pPr>
              <w:pStyle w:val="Bezodstpw"/>
              <w:numPr>
                <w:ilvl w:val="0"/>
                <w:numId w:val="12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Alarmy</w:t>
            </w:r>
          </w:p>
          <w:p w14:paraId="5466F461" w14:textId="429EA345" w:rsidR="002616C4" w:rsidRPr="00E93998" w:rsidRDefault="002616C4" w:rsidP="00E93998">
            <w:pPr>
              <w:pStyle w:val="Bezodstpw"/>
              <w:numPr>
                <w:ilvl w:val="0"/>
                <w:numId w:val="12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Tryb pracy</w:t>
            </w:r>
          </w:p>
          <w:p w14:paraId="0CBA1970" w14:textId="3305965C" w:rsidR="002616C4" w:rsidRPr="00E93998" w:rsidRDefault="002616C4" w:rsidP="00E93998">
            <w:pPr>
              <w:pStyle w:val="Bezodstpw"/>
              <w:numPr>
                <w:ilvl w:val="0"/>
                <w:numId w:val="12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Poziom jakości wytwarzanej serii z górną i dolną granicą kontroli</w:t>
            </w:r>
          </w:p>
          <w:p w14:paraId="5A6E9C40" w14:textId="521ED582" w:rsidR="002616C4" w:rsidRPr="00E93998" w:rsidRDefault="002616C4" w:rsidP="00E93998">
            <w:pPr>
              <w:pStyle w:val="Bezodstpw"/>
              <w:numPr>
                <w:ilvl w:val="0"/>
                <w:numId w:val="12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Informacje o pracy każdego dozatora</w:t>
            </w:r>
          </w:p>
          <w:p w14:paraId="606D36CA" w14:textId="07E42B56" w:rsidR="002616C4" w:rsidRPr="00E93998" w:rsidRDefault="002616C4" w:rsidP="00E93998">
            <w:pPr>
              <w:pStyle w:val="Bezodstpw"/>
              <w:numPr>
                <w:ilvl w:val="0"/>
                <w:numId w:val="12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Liczniki dobrych I odrzuconych kapsułek</w:t>
            </w:r>
          </w:p>
          <w:p w14:paraId="7D31590D" w14:textId="59A8F999" w:rsidR="002616C4" w:rsidRPr="007D3F09" w:rsidRDefault="002616C4" w:rsidP="00E93998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Parametry procesu np. prędkość, stan pracy poszczególnych elementów urządzenia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0D13EF1B" w14:textId="77777777" w:rsidR="002616C4" w:rsidRPr="00E93998" w:rsidRDefault="002616C4" w:rsidP="00E93998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04756E94" w14:textId="50C89A9A" w:rsidTr="002616C4">
        <w:trPr>
          <w:jc w:val="center"/>
        </w:trPr>
        <w:tc>
          <w:tcPr>
            <w:tcW w:w="704" w:type="dxa"/>
          </w:tcPr>
          <w:p w14:paraId="62E22710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1901706C" w14:textId="28216A5D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System musi posiadać funkcję </w:t>
            </w:r>
            <w:proofErr w:type="spellStart"/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Audit</w:t>
            </w:r>
            <w:proofErr w:type="spellEnd"/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Trail</w:t>
            </w:r>
            <w:proofErr w:type="spellEnd"/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3ADFDDD6" w14:textId="77777777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1A464C40" w14:textId="394E370E" w:rsidTr="002616C4">
        <w:trPr>
          <w:jc w:val="center"/>
        </w:trPr>
        <w:tc>
          <w:tcPr>
            <w:tcW w:w="704" w:type="dxa"/>
          </w:tcPr>
          <w:p w14:paraId="74A5D944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198D0B27" w14:textId="34AE22C6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Wszystkie wpisy w </w:t>
            </w:r>
            <w:proofErr w:type="spellStart"/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Audit</w:t>
            </w:r>
            <w:proofErr w:type="spellEnd"/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Trail</w:t>
            </w:r>
            <w:proofErr w:type="spellEnd"/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muszą zawierać datę, godzinę, rodzaj operacji, jednoznaczny identyfikator użytkownika wykonującego operację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08A2E589" w14:textId="77777777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79934316" w14:textId="6C4C7D40" w:rsidTr="002616C4">
        <w:trPr>
          <w:jc w:val="center"/>
        </w:trPr>
        <w:tc>
          <w:tcPr>
            <w:tcW w:w="704" w:type="dxa"/>
          </w:tcPr>
          <w:p w14:paraId="358FBF8D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66B458D1" w14:textId="0B149EF5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Brak możliwości usuwania i edytowania wpisów w </w:t>
            </w:r>
            <w:proofErr w:type="spellStart"/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Audit</w:t>
            </w:r>
            <w:proofErr w:type="spellEnd"/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Trail</w:t>
            </w:r>
            <w:proofErr w:type="spellEnd"/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4D6E0133" w14:textId="77777777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556C5F05" w14:textId="1030F299" w:rsidTr="002616C4">
        <w:trPr>
          <w:jc w:val="center"/>
        </w:trPr>
        <w:tc>
          <w:tcPr>
            <w:tcW w:w="704" w:type="dxa"/>
          </w:tcPr>
          <w:p w14:paraId="130D80C8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08122C83" w14:textId="5DEC2F28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Audit</w:t>
            </w:r>
            <w:proofErr w:type="spellEnd"/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Trail</w:t>
            </w:r>
            <w:proofErr w:type="spellEnd"/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muszą być widoczne wszystkie udane oraz nieudane próby logowania do systemu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40D78EBB" w14:textId="77777777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02B592CF" w14:textId="288B69C9" w:rsidTr="002616C4">
        <w:trPr>
          <w:jc w:val="center"/>
        </w:trPr>
        <w:tc>
          <w:tcPr>
            <w:tcW w:w="704" w:type="dxa"/>
          </w:tcPr>
          <w:p w14:paraId="27470104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69FEACA0" w14:textId="48A02278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Dostęp do systemu ograniczony poprzez logowanie na indywidualne konto użytkownika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0766134C" w14:textId="77777777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495DD276" w14:textId="71FF04D3" w:rsidTr="002616C4">
        <w:trPr>
          <w:jc w:val="center"/>
        </w:trPr>
        <w:tc>
          <w:tcPr>
            <w:tcW w:w="704" w:type="dxa"/>
          </w:tcPr>
          <w:p w14:paraId="7082B827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61DFB5C3" w14:textId="376429F7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Zarządzanie użytkownikami możliwe jedynie z poziomu Administratora systemu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5F691806" w14:textId="77777777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30BF5FDC" w14:textId="5DCB844E" w:rsidTr="002616C4">
        <w:trPr>
          <w:jc w:val="center"/>
        </w:trPr>
        <w:tc>
          <w:tcPr>
            <w:tcW w:w="704" w:type="dxa"/>
          </w:tcPr>
          <w:p w14:paraId="2686B86A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195D8AAF" w14:textId="2D58DA54" w:rsidR="002616C4" w:rsidRPr="007D3F09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Możliwość zdefiniowania co najmniej 3 różnych grup dostępu do systemu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639F9447" w14:textId="77777777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798B0340" w14:textId="7C084FDD" w:rsidTr="002616C4">
        <w:trPr>
          <w:jc w:val="center"/>
        </w:trPr>
        <w:tc>
          <w:tcPr>
            <w:tcW w:w="704" w:type="dxa"/>
          </w:tcPr>
          <w:p w14:paraId="7A457F25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572BAC05" w14:textId="3C31C3FA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Możliwość zdefiniowania czasu nieaktywności po jakim następuje automatyczne wylogowanie użytkownika lub blokada ekranu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65ECDCF3" w14:textId="77777777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22651FDC" w14:textId="4AE5464B" w:rsidTr="002616C4">
        <w:trPr>
          <w:jc w:val="center"/>
        </w:trPr>
        <w:tc>
          <w:tcPr>
            <w:tcW w:w="704" w:type="dxa"/>
          </w:tcPr>
          <w:p w14:paraId="7392CD0D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61D15692" w14:textId="5FF9FD71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Możliwość zdefiniowania częstotliwości wymuszania zmiany hasła użytkownika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58C69A4A" w14:textId="77777777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686AE780" w14:textId="5619EA10" w:rsidTr="002616C4">
        <w:trPr>
          <w:jc w:val="center"/>
        </w:trPr>
        <w:tc>
          <w:tcPr>
            <w:tcW w:w="704" w:type="dxa"/>
          </w:tcPr>
          <w:p w14:paraId="59CABC2E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51A22812" w14:textId="3607A5DB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System musi zapewnić bezpieczeństwo i integralność danych w celu zapobieżenia nieautoryzowanym lub przypadkowym zmianom danych produkcyjnych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3B355835" w14:textId="77777777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3398E6E9" w14:textId="0885AE6B" w:rsidTr="002616C4">
        <w:trPr>
          <w:jc w:val="center"/>
        </w:trPr>
        <w:tc>
          <w:tcPr>
            <w:tcW w:w="704" w:type="dxa"/>
          </w:tcPr>
          <w:p w14:paraId="12695CE0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6F1CB1AC" w14:textId="6EAEB320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System musi zapewnić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,</w:t>
            </w: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że wszystkie wprowadzane dane są zatwierdzane przy użyciu określonych zakresów.</w:t>
            </w:r>
          </w:p>
        </w:tc>
        <w:tc>
          <w:tcPr>
            <w:tcW w:w="3402" w:type="dxa"/>
          </w:tcPr>
          <w:p w14:paraId="0B80E517" w14:textId="77777777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1D5F2FC4" w14:textId="6AE148E4" w:rsidTr="002616C4">
        <w:trPr>
          <w:jc w:val="center"/>
        </w:trPr>
        <w:tc>
          <w:tcPr>
            <w:tcW w:w="704" w:type="dxa"/>
          </w:tcPr>
          <w:p w14:paraId="4393ED4F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1D03BAC8" w14:textId="5DC1CD9D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Urządzenie musi automatycznie wykonywać backup parametrów, danych produkcyjnych i konfiguracji maszyny. Częstotliwość i rodzaj backup-u musi być konfigurowalny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,</w:t>
            </w: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s</w:t>
            </w: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ystem powinien automatycznie zapisywać kopię zapasową na serwerze za każdym razem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,</w:t>
            </w: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gdy wykonywany jest backup.</w:t>
            </w:r>
          </w:p>
        </w:tc>
        <w:tc>
          <w:tcPr>
            <w:tcW w:w="3402" w:type="dxa"/>
          </w:tcPr>
          <w:p w14:paraId="5FB6531B" w14:textId="77777777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02C7FF2B" w14:textId="709F0B72" w:rsidTr="002616C4">
        <w:trPr>
          <w:jc w:val="center"/>
        </w:trPr>
        <w:tc>
          <w:tcPr>
            <w:tcW w:w="704" w:type="dxa"/>
          </w:tcPr>
          <w:p w14:paraId="3F18869A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2AF0A66D" w14:textId="08E519E4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Musi być dostępna procedura przywracania ostatniej kopii zapasowej.</w:t>
            </w:r>
          </w:p>
        </w:tc>
        <w:tc>
          <w:tcPr>
            <w:tcW w:w="3402" w:type="dxa"/>
          </w:tcPr>
          <w:p w14:paraId="2087100C" w14:textId="77777777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495AA153" w14:textId="787F6B1B" w:rsidTr="002616C4">
        <w:trPr>
          <w:jc w:val="center"/>
        </w:trPr>
        <w:tc>
          <w:tcPr>
            <w:tcW w:w="704" w:type="dxa"/>
          </w:tcPr>
          <w:p w14:paraId="7F264AD7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7B1217D5" w14:textId="0FFD0A08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Musi być możliwość wygenerowania, eksportu i wydrukowania: raportu z przebiegu procesu całej serii zawierającego co najmniej zarejestrowane dla danej serii dane (pkt 19) i wszystkie zdarzenia, które miały miejsce w trakcie wytwarzania w porządku chronologicznym, raporty analiz dla serii, dozatorów, zatrzymań, alarmów, tary kapsułek, wydajności, postojów maszyny, raporty o złych i dobrych wagach oraz </w:t>
            </w:r>
            <w:proofErr w:type="spellStart"/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audit</w:t>
            </w:r>
            <w:proofErr w:type="spellEnd"/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93998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trail</w:t>
            </w:r>
            <w:proofErr w:type="spellEnd"/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4B3CE757" w14:textId="77777777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0AEB5369" w14:textId="7A83CA3F" w:rsidTr="002616C4">
        <w:trPr>
          <w:jc w:val="center"/>
        </w:trPr>
        <w:tc>
          <w:tcPr>
            <w:tcW w:w="704" w:type="dxa"/>
          </w:tcPr>
          <w:p w14:paraId="0AABF84C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026139E1" w14:textId="2669610A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1E1586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System musi umożliwiać połączenie z systemami ogólnofirmowymi (ERP)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2CF2C454" w14:textId="77777777" w:rsidR="002616C4" w:rsidRPr="001E158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74612F35" w14:textId="7862A4A7" w:rsidTr="002616C4">
        <w:trPr>
          <w:jc w:val="center"/>
        </w:trPr>
        <w:tc>
          <w:tcPr>
            <w:tcW w:w="704" w:type="dxa"/>
          </w:tcPr>
          <w:p w14:paraId="0C30D15A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47DC2BB5" w14:textId="2A06C733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1E1586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Maszyna musi posiadać port typu USB-A umożliwiający wymianę danych znajdujący się w pobliżu panelu operatorskiego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7B538836" w14:textId="77777777" w:rsidR="002616C4" w:rsidRPr="001E158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212C2D34" w14:textId="4E9D6F09" w:rsidTr="002616C4">
        <w:trPr>
          <w:jc w:val="center"/>
        </w:trPr>
        <w:tc>
          <w:tcPr>
            <w:tcW w:w="704" w:type="dxa"/>
          </w:tcPr>
          <w:p w14:paraId="62281349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3678D181" w14:textId="1BD5D691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1E1586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Maszyna musi posiadać porty komunikacyjne umożliwiające podłączenie do sieci (Ethernet)</w:t>
            </w:r>
            <w: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08B98A02" w14:textId="77777777" w:rsidR="002616C4" w:rsidRPr="001E158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  <w:tr w:rsidR="002616C4" w:rsidRPr="00FF4B0A" w14:paraId="73D7B335" w14:textId="50F02B1E" w:rsidTr="002616C4">
        <w:trPr>
          <w:jc w:val="center"/>
        </w:trPr>
        <w:tc>
          <w:tcPr>
            <w:tcW w:w="704" w:type="dxa"/>
          </w:tcPr>
          <w:p w14:paraId="7D9845CF" w14:textId="77777777" w:rsidR="002616C4" w:rsidRPr="009B6116" w:rsidRDefault="002616C4" w:rsidP="009B6116">
            <w:pPr>
              <w:pStyle w:val="Bezodstpw"/>
              <w:numPr>
                <w:ilvl w:val="0"/>
                <w:numId w:val="7"/>
              </w:num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14:paraId="55BB0158" w14:textId="3FD19FF3" w:rsidR="002616C4" w:rsidRPr="00E93998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  <w:r w:rsidRPr="001E1586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  <w:t>Maszyna powinna być przygotowana do podłączenia do UPS.</w:t>
            </w:r>
          </w:p>
        </w:tc>
        <w:tc>
          <w:tcPr>
            <w:tcW w:w="3402" w:type="dxa"/>
          </w:tcPr>
          <w:p w14:paraId="28B3072D" w14:textId="77777777" w:rsidR="002616C4" w:rsidRPr="001E1586" w:rsidRDefault="002616C4" w:rsidP="00A90367">
            <w:pPr>
              <w:pStyle w:val="Bezodstpw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pl-PL"/>
              </w:rPr>
            </w:pPr>
          </w:p>
        </w:tc>
      </w:tr>
    </w:tbl>
    <w:p w14:paraId="1074EA77" w14:textId="334A3211" w:rsidR="00082201" w:rsidRPr="00F63A88" w:rsidRDefault="00082201" w:rsidP="0046782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06F81A1" w14:textId="01F26ACA" w:rsidR="006E3E12" w:rsidRDefault="006E3E12" w:rsidP="0046782E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4E34F32B" w14:textId="59E50D8E" w:rsidR="0046782E" w:rsidRDefault="0046782E" w:rsidP="0046782E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00659C93" w14:textId="2708FAEE" w:rsidR="008F7C8D" w:rsidRDefault="008F7C8D" w:rsidP="00F63A88">
      <w:pPr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1E8F4E6F" w14:textId="7AC0C738" w:rsidR="00F63A88" w:rsidRDefault="00F63A88" w:rsidP="00F63A88">
      <w:pPr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50A7B9CF" w14:textId="7A3B3442" w:rsidR="00F63A88" w:rsidRDefault="00F63A88" w:rsidP="00F63A88">
      <w:pPr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……………………………………………………..</w:t>
      </w:r>
    </w:p>
    <w:p w14:paraId="4C50CC13" w14:textId="201D9473" w:rsidR="00F63A88" w:rsidRPr="00803075" w:rsidRDefault="00F63A88" w:rsidP="00F63A88">
      <w:pPr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Podpis osoby upoważnionej do reprezentowania Wykonawcy</w:t>
      </w:r>
    </w:p>
    <w:sectPr w:rsidR="00F63A88" w:rsidRPr="00803075" w:rsidSect="001E1586">
      <w:headerReference w:type="default" r:id="rId11"/>
      <w:footerReference w:type="default" r:id="rId12"/>
      <w:pgSz w:w="11900" w:h="16840"/>
      <w:pgMar w:top="624" w:right="851" w:bottom="624" w:left="851" w:header="170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F357" w14:textId="77777777" w:rsidR="000725D1" w:rsidRDefault="000725D1" w:rsidP="009C61ED">
      <w:r>
        <w:separator/>
      </w:r>
    </w:p>
  </w:endnote>
  <w:endnote w:type="continuationSeparator" w:id="0">
    <w:p w14:paraId="1A0F6535" w14:textId="77777777" w:rsidR="000725D1" w:rsidRDefault="000725D1" w:rsidP="009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8F7C8D" w:rsidRPr="00FE7354" w14:paraId="1D84B9CF" w14:textId="77777777" w:rsidTr="008F7C8D">
      <w:trPr>
        <w:trHeight w:val="990"/>
      </w:trPr>
      <w:tc>
        <w:tcPr>
          <w:tcW w:w="2412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03441B65" w14:textId="77777777" w:rsidR="008F7C8D" w:rsidRPr="008F7C8D" w:rsidRDefault="008F7C8D" w:rsidP="008F7C8D">
          <w:pPr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  <w:lang w:val="pl-PL"/>
            </w:rPr>
          </w:pPr>
          <w:r w:rsidRPr="008F7C8D">
            <w:rPr>
              <w:rFonts w:ascii="Panton Bold" w:hAnsi="Panton Bold"/>
              <w:color w:val="404040" w:themeColor="text1" w:themeTint="BF"/>
              <w:sz w:val="14"/>
              <w:lang w:val="pl-PL"/>
            </w:rPr>
            <w:t xml:space="preserve">  </w:t>
          </w:r>
          <w:r w:rsidRPr="008F7C8D">
            <w:rPr>
              <w:rFonts w:ascii="Calibri body" w:hAnsi="Calibri body"/>
              <w:b/>
              <w:color w:val="000000" w:themeColor="text1"/>
              <w:sz w:val="17"/>
              <w:lang w:val="pl-PL"/>
            </w:rPr>
            <w:t>Celon Pharma S.A.</w:t>
          </w:r>
        </w:p>
        <w:p w14:paraId="66DB99ED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Biuro główne: Ogrodowa 2A, Kiełpin</w:t>
          </w:r>
        </w:p>
        <w:p w14:paraId="11AD07B3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05-092 Łomianki, Polska</w:t>
          </w:r>
        </w:p>
        <w:p w14:paraId="360D060A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telefon: +48 22 751 59 33</w:t>
          </w:r>
        </w:p>
        <w:p w14:paraId="2CAD8753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fax: +48 22 751 44 58</w:t>
          </w:r>
        </w:p>
        <w:p w14:paraId="182D3EE4" w14:textId="77777777" w:rsidR="008F7C8D" w:rsidRPr="008F7C8D" w:rsidRDefault="008F7C8D" w:rsidP="008F7C8D">
          <w:pPr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e-mail: info@celonpharma.com</w:t>
          </w:r>
        </w:p>
      </w:tc>
      <w:tc>
        <w:tcPr>
          <w:tcW w:w="6407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1AD26C19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Organ rejestrujący: Sąd Rejonowy dla Miasta Stołecznego Warszawy w Warszawie</w:t>
          </w:r>
        </w:p>
        <w:p w14:paraId="1589C890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XIV Wydział Gospodarczy Krajowego Rejestru Sądowego</w:t>
          </w:r>
        </w:p>
        <w:p w14:paraId="61DFE8BE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Prezes Zarządu: Maciej Wieczorek</w:t>
          </w:r>
        </w:p>
        <w:p w14:paraId="65F0B636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KRS; 0000437778</w:t>
          </w:r>
        </w:p>
        <w:p w14:paraId="5E8B12C0" w14:textId="6219DC76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>
            <w:rPr>
              <w:rFonts w:ascii="Calibri" w:hAnsi="Calibri"/>
              <w:sz w:val="14"/>
              <w:lang w:val="pl-PL"/>
            </w:rPr>
            <w:t xml:space="preserve">Kapitał zakładowy: </w:t>
          </w:r>
          <w:r w:rsidR="00927AFC">
            <w:rPr>
              <w:rFonts w:ascii="Calibri" w:hAnsi="Calibri"/>
              <w:sz w:val="14"/>
              <w:lang w:val="pl-PL"/>
            </w:rPr>
            <w:t>5</w:t>
          </w:r>
          <w:r>
            <w:rPr>
              <w:rFonts w:ascii="Calibri" w:hAnsi="Calibri"/>
              <w:sz w:val="14"/>
              <w:lang w:val="pl-PL"/>
            </w:rPr>
            <w:t xml:space="preserve"> </w:t>
          </w:r>
          <w:r w:rsidR="00927AFC">
            <w:rPr>
              <w:rFonts w:ascii="Calibri" w:hAnsi="Calibri"/>
              <w:sz w:val="14"/>
              <w:lang w:val="pl-PL"/>
            </w:rPr>
            <w:t>1</w:t>
          </w:r>
          <w:r w:rsidRPr="008F7C8D">
            <w:rPr>
              <w:rFonts w:ascii="Calibri" w:hAnsi="Calibri"/>
              <w:sz w:val="14"/>
              <w:lang w:val="pl-PL"/>
            </w:rPr>
            <w:t>0</w:t>
          </w:r>
          <w:r w:rsidR="00A90367">
            <w:rPr>
              <w:rFonts w:ascii="Calibri" w:hAnsi="Calibri"/>
              <w:sz w:val="14"/>
              <w:lang w:val="pl-PL"/>
            </w:rPr>
            <w:t>3</w:t>
          </w:r>
          <w:r w:rsidRPr="008F7C8D">
            <w:rPr>
              <w:rFonts w:ascii="Calibri" w:hAnsi="Calibri"/>
              <w:sz w:val="14"/>
              <w:lang w:val="pl-PL"/>
            </w:rPr>
            <w:t xml:space="preserve"> </w:t>
          </w:r>
          <w:r w:rsidR="00A90367">
            <w:rPr>
              <w:rFonts w:ascii="Calibri" w:hAnsi="Calibri"/>
              <w:sz w:val="14"/>
              <w:lang w:val="pl-PL"/>
            </w:rPr>
            <w:t>5</w:t>
          </w:r>
          <w:r w:rsidRPr="008F7C8D">
            <w:rPr>
              <w:rFonts w:ascii="Calibri" w:hAnsi="Calibri"/>
              <w:sz w:val="14"/>
              <w:lang w:val="pl-PL"/>
            </w:rPr>
            <w:t>00 PLN</w:t>
          </w:r>
        </w:p>
        <w:p w14:paraId="185B477D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NIP: 118 – 16 – 42 – 061</w:t>
          </w:r>
        </w:p>
        <w:p w14:paraId="00D243EE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color w:val="FF9900"/>
              <w:sz w:val="14"/>
              <w:lang w:val="pl-PL"/>
            </w:rPr>
            <w:t>www.celonpharma.com</w:t>
          </w:r>
        </w:p>
      </w:tc>
    </w:tr>
  </w:tbl>
  <w:p w14:paraId="07D90475" w14:textId="77777777" w:rsidR="009C61ED" w:rsidRPr="008F7C8D" w:rsidRDefault="009C61ED" w:rsidP="008F7C8D">
    <w:pPr>
      <w:pStyle w:val="Stopka"/>
      <w:rPr>
        <w:rFonts w:ascii="Times New Roman" w:hAnsi="Times New Roman"/>
        <w:color w:val="00A0AF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DCA7" w14:textId="77777777" w:rsidR="000725D1" w:rsidRDefault="000725D1" w:rsidP="009C61ED">
      <w:r>
        <w:separator/>
      </w:r>
    </w:p>
  </w:footnote>
  <w:footnote w:type="continuationSeparator" w:id="0">
    <w:p w14:paraId="51155CB0" w14:textId="77777777" w:rsidR="000725D1" w:rsidRDefault="000725D1" w:rsidP="009C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CFB3" w14:textId="081AD2E7" w:rsidR="009F5D9A" w:rsidRPr="00936016" w:rsidRDefault="00A90367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751218B9" wp14:editId="14934410">
          <wp:simplePos x="0" y="0"/>
          <wp:positionH relativeFrom="column">
            <wp:posOffset>2136775</wp:posOffset>
          </wp:positionH>
          <wp:positionV relativeFrom="paragraph">
            <wp:posOffset>-614045</wp:posOffset>
          </wp:positionV>
          <wp:extent cx="2048400" cy="547200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54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8E98B8"/>
    <w:lvl w:ilvl="0">
      <w:start w:val="1"/>
      <w:numFmt w:val="bullet"/>
      <w:pStyle w:val="Listapunktowana"/>
      <w:lvlText w:val=""/>
      <w:lvlJc w:val="left"/>
      <w:pPr>
        <w:tabs>
          <w:tab w:val="num" w:pos="568"/>
        </w:tabs>
        <w:ind w:left="568" w:hanging="360"/>
      </w:pPr>
      <w:rPr>
        <w:rFonts w:ascii="Symbol" w:hAnsi="Symbol" w:hint="default"/>
      </w:rPr>
    </w:lvl>
  </w:abstractNum>
  <w:abstractNum w:abstractNumId="1" w15:restartNumberingAfterBreak="0">
    <w:nsid w:val="06B15C5C"/>
    <w:multiLevelType w:val="hybridMultilevel"/>
    <w:tmpl w:val="1FC4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BB3"/>
    <w:multiLevelType w:val="hybridMultilevel"/>
    <w:tmpl w:val="DAE29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43A4"/>
    <w:multiLevelType w:val="hybridMultilevel"/>
    <w:tmpl w:val="BB986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289C"/>
    <w:multiLevelType w:val="multilevel"/>
    <w:tmpl w:val="BC7ED22E"/>
    <w:lvl w:ilvl="0">
      <w:start w:val="2"/>
      <w:numFmt w:val="decimal"/>
      <w:pStyle w:val="Styl2"/>
      <w:lvlText w:val="%1.1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5" w15:restartNumberingAfterBreak="0">
    <w:nsid w:val="243071EB"/>
    <w:multiLevelType w:val="hybridMultilevel"/>
    <w:tmpl w:val="1C6CC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B15FF"/>
    <w:multiLevelType w:val="hybridMultilevel"/>
    <w:tmpl w:val="619C1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80380"/>
    <w:multiLevelType w:val="multilevel"/>
    <w:tmpl w:val="DD8C00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467543B0"/>
    <w:multiLevelType w:val="hybridMultilevel"/>
    <w:tmpl w:val="30EE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61C63"/>
    <w:multiLevelType w:val="hybridMultilevel"/>
    <w:tmpl w:val="B7861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45A12"/>
    <w:multiLevelType w:val="hybridMultilevel"/>
    <w:tmpl w:val="4C48E9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972995"/>
    <w:multiLevelType w:val="hybridMultilevel"/>
    <w:tmpl w:val="3482C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24A5E"/>
    <w:multiLevelType w:val="hybridMultilevel"/>
    <w:tmpl w:val="7B365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741882">
    <w:abstractNumId w:val="7"/>
  </w:num>
  <w:num w:numId="2" w16cid:durableId="56364840">
    <w:abstractNumId w:val="0"/>
  </w:num>
  <w:num w:numId="3" w16cid:durableId="350111361">
    <w:abstractNumId w:val="9"/>
  </w:num>
  <w:num w:numId="4" w16cid:durableId="1185364455">
    <w:abstractNumId w:val="4"/>
  </w:num>
  <w:num w:numId="5" w16cid:durableId="167405643">
    <w:abstractNumId w:val="10"/>
  </w:num>
  <w:num w:numId="6" w16cid:durableId="969944426">
    <w:abstractNumId w:val="12"/>
  </w:num>
  <w:num w:numId="7" w16cid:durableId="1334721763">
    <w:abstractNumId w:val="1"/>
  </w:num>
  <w:num w:numId="8" w16cid:durableId="2024237646">
    <w:abstractNumId w:val="3"/>
  </w:num>
  <w:num w:numId="9" w16cid:durableId="824590440">
    <w:abstractNumId w:val="5"/>
  </w:num>
  <w:num w:numId="10" w16cid:durableId="259991137">
    <w:abstractNumId w:val="2"/>
  </w:num>
  <w:num w:numId="11" w16cid:durableId="710157505">
    <w:abstractNumId w:val="8"/>
  </w:num>
  <w:num w:numId="12" w16cid:durableId="1096944227">
    <w:abstractNumId w:val="6"/>
  </w:num>
  <w:num w:numId="13" w16cid:durableId="26207908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ED"/>
    <w:rsid w:val="00012E7B"/>
    <w:rsid w:val="000164E9"/>
    <w:rsid w:val="00034C0C"/>
    <w:rsid w:val="00066DEE"/>
    <w:rsid w:val="000725D1"/>
    <w:rsid w:val="00082201"/>
    <w:rsid w:val="00084516"/>
    <w:rsid w:val="000B0BFB"/>
    <w:rsid w:val="000B678B"/>
    <w:rsid w:val="000F1B7A"/>
    <w:rsid w:val="001238DC"/>
    <w:rsid w:val="001320FA"/>
    <w:rsid w:val="00146A26"/>
    <w:rsid w:val="00150619"/>
    <w:rsid w:val="00182D87"/>
    <w:rsid w:val="001C4807"/>
    <w:rsid w:val="001D2383"/>
    <w:rsid w:val="001D52BB"/>
    <w:rsid w:val="001E1586"/>
    <w:rsid w:val="002228FC"/>
    <w:rsid w:val="00236C9A"/>
    <w:rsid w:val="002616C4"/>
    <w:rsid w:val="002632CF"/>
    <w:rsid w:val="00265021"/>
    <w:rsid w:val="00284926"/>
    <w:rsid w:val="002924B6"/>
    <w:rsid w:val="002E0A64"/>
    <w:rsid w:val="002F3BC6"/>
    <w:rsid w:val="002F677A"/>
    <w:rsid w:val="00301047"/>
    <w:rsid w:val="0032377E"/>
    <w:rsid w:val="00343516"/>
    <w:rsid w:val="003439EA"/>
    <w:rsid w:val="00352D28"/>
    <w:rsid w:val="00365ADC"/>
    <w:rsid w:val="00383935"/>
    <w:rsid w:val="00384FBA"/>
    <w:rsid w:val="003A3575"/>
    <w:rsid w:val="003A5154"/>
    <w:rsid w:val="003A66C1"/>
    <w:rsid w:val="003C7377"/>
    <w:rsid w:val="003E4B63"/>
    <w:rsid w:val="003F4C80"/>
    <w:rsid w:val="003F5637"/>
    <w:rsid w:val="003F743B"/>
    <w:rsid w:val="00414086"/>
    <w:rsid w:val="00414A9F"/>
    <w:rsid w:val="00433F20"/>
    <w:rsid w:val="00446AC6"/>
    <w:rsid w:val="0046782E"/>
    <w:rsid w:val="004C65FD"/>
    <w:rsid w:val="004D20C0"/>
    <w:rsid w:val="0050630F"/>
    <w:rsid w:val="005776FE"/>
    <w:rsid w:val="00582017"/>
    <w:rsid w:val="00582082"/>
    <w:rsid w:val="005926E7"/>
    <w:rsid w:val="005A2A42"/>
    <w:rsid w:val="005A3C7C"/>
    <w:rsid w:val="005A4078"/>
    <w:rsid w:val="005A4BC6"/>
    <w:rsid w:val="005B07BA"/>
    <w:rsid w:val="005C1A86"/>
    <w:rsid w:val="005D35AE"/>
    <w:rsid w:val="005D5224"/>
    <w:rsid w:val="005D5FB1"/>
    <w:rsid w:val="005D653D"/>
    <w:rsid w:val="005E0644"/>
    <w:rsid w:val="005F5213"/>
    <w:rsid w:val="00612729"/>
    <w:rsid w:val="0061662C"/>
    <w:rsid w:val="006203C7"/>
    <w:rsid w:val="00634300"/>
    <w:rsid w:val="00644985"/>
    <w:rsid w:val="00644F1A"/>
    <w:rsid w:val="00655FD8"/>
    <w:rsid w:val="00666A7D"/>
    <w:rsid w:val="006722A1"/>
    <w:rsid w:val="0067485E"/>
    <w:rsid w:val="00691DCD"/>
    <w:rsid w:val="006A3E5B"/>
    <w:rsid w:val="006C4393"/>
    <w:rsid w:val="006D30AA"/>
    <w:rsid w:val="006E0F11"/>
    <w:rsid w:val="006E3E12"/>
    <w:rsid w:val="006F3B61"/>
    <w:rsid w:val="007157FC"/>
    <w:rsid w:val="00733212"/>
    <w:rsid w:val="007922AC"/>
    <w:rsid w:val="007970DD"/>
    <w:rsid w:val="007D1BDA"/>
    <w:rsid w:val="007D3F09"/>
    <w:rsid w:val="007E74B9"/>
    <w:rsid w:val="00803075"/>
    <w:rsid w:val="00862114"/>
    <w:rsid w:val="0086247F"/>
    <w:rsid w:val="008644C6"/>
    <w:rsid w:val="008A5207"/>
    <w:rsid w:val="008B3590"/>
    <w:rsid w:val="008E34A6"/>
    <w:rsid w:val="008E572E"/>
    <w:rsid w:val="008E7216"/>
    <w:rsid w:val="008E755B"/>
    <w:rsid w:val="008F7C8D"/>
    <w:rsid w:val="00903135"/>
    <w:rsid w:val="00912847"/>
    <w:rsid w:val="00927AFC"/>
    <w:rsid w:val="00936016"/>
    <w:rsid w:val="00943A67"/>
    <w:rsid w:val="00950408"/>
    <w:rsid w:val="00957319"/>
    <w:rsid w:val="0096293C"/>
    <w:rsid w:val="00982AAC"/>
    <w:rsid w:val="009B6116"/>
    <w:rsid w:val="009C4F90"/>
    <w:rsid w:val="009C61ED"/>
    <w:rsid w:val="009F5D9A"/>
    <w:rsid w:val="00A00780"/>
    <w:rsid w:val="00A113D1"/>
    <w:rsid w:val="00A1539B"/>
    <w:rsid w:val="00A33C98"/>
    <w:rsid w:val="00A367DC"/>
    <w:rsid w:val="00A67C80"/>
    <w:rsid w:val="00A67D6E"/>
    <w:rsid w:val="00A75451"/>
    <w:rsid w:val="00A90367"/>
    <w:rsid w:val="00A94359"/>
    <w:rsid w:val="00A9697A"/>
    <w:rsid w:val="00AA4E65"/>
    <w:rsid w:val="00AB4D51"/>
    <w:rsid w:val="00AC6216"/>
    <w:rsid w:val="00AD3D8B"/>
    <w:rsid w:val="00AE1655"/>
    <w:rsid w:val="00B94F3B"/>
    <w:rsid w:val="00B954F9"/>
    <w:rsid w:val="00BA2E6B"/>
    <w:rsid w:val="00BB2DC7"/>
    <w:rsid w:val="00BD4261"/>
    <w:rsid w:val="00C21455"/>
    <w:rsid w:val="00C236F2"/>
    <w:rsid w:val="00C24216"/>
    <w:rsid w:val="00C27435"/>
    <w:rsid w:val="00C27D96"/>
    <w:rsid w:val="00C3602E"/>
    <w:rsid w:val="00C36569"/>
    <w:rsid w:val="00C54D68"/>
    <w:rsid w:val="00C60BD8"/>
    <w:rsid w:val="00C7185F"/>
    <w:rsid w:val="00C878F8"/>
    <w:rsid w:val="00CB65E3"/>
    <w:rsid w:val="00CC46A9"/>
    <w:rsid w:val="00D17C8C"/>
    <w:rsid w:val="00D20691"/>
    <w:rsid w:val="00D45D62"/>
    <w:rsid w:val="00D903EB"/>
    <w:rsid w:val="00D90729"/>
    <w:rsid w:val="00D917AA"/>
    <w:rsid w:val="00DA5BC1"/>
    <w:rsid w:val="00DC12D2"/>
    <w:rsid w:val="00DD27E7"/>
    <w:rsid w:val="00DD7714"/>
    <w:rsid w:val="00DE208B"/>
    <w:rsid w:val="00DE6AED"/>
    <w:rsid w:val="00DF0F25"/>
    <w:rsid w:val="00E17918"/>
    <w:rsid w:val="00E37ADB"/>
    <w:rsid w:val="00E44C33"/>
    <w:rsid w:val="00E57608"/>
    <w:rsid w:val="00E73BCB"/>
    <w:rsid w:val="00E82C15"/>
    <w:rsid w:val="00E84656"/>
    <w:rsid w:val="00E93998"/>
    <w:rsid w:val="00EC029D"/>
    <w:rsid w:val="00EC6158"/>
    <w:rsid w:val="00EE5123"/>
    <w:rsid w:val="00EF2A04"/>
    <w:rsid w:val="00EF7BBC"/>
    <w:rsid w:val="00F022AE"/>
    <w:rsid w:val="00F05CD4"/>
    <w:rsid w:val="00F2312A"/>
    <w:rsid w:val="00F35EF6"/>
    <w:rsid w:val="00F36769"/>
    <w:rsid w:val="00F42335"/>
    <w:rsid w:val="00F530F7"/>
    <w:rsid w:val="00F624F2"/>
    <w:rsid w:val="00F63A88"/>
    <w:rsid w:val="00F72A29"/>
    <w:rsid w:val="00F74199"/>
    <w:rsid w:val="00F83EA9"/>
    <w:rsid w:val="00F92EB7"/>
    <w:rsid w:val="00FA1704"/>
    <w:rsid w:val="00FA606B"/>
    <w:rsid w:val="00FE064F"/>
    <w:rsid w:val="00FE7354"/>
    <w:rsid w:val="00FF4B0A"/>
    <w:rsid w:val="00FF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CB0D7"/>
  <w15:docId w15:val="{91B4DD87-6FE6-4CC9-AD79-7F9B9E1E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414086"/>
    <w:pPr>
      <w:keepNext/>
      <w:pageBreakBefore/>
      <w:widowControl w:val="0"/>
      <w:numPr>
        <w:numId w:val="1"/>
      </w:numPr>
      <w:pBdr>
        <w:bottom w:val="single" w:sz="4" w:space="1" w:color="auto"/>
        <w:right w:val="double" w:sz="4" w:space="4" w:color="auto"/>
      </w:pBdr>
      <w:suppressAutoHyphens/>
      <w:spacing w:before="240" w:after="60"/>
      <w:outlineLvl w:val="0"/>
    </w:pPr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  <w14:textOutline w14:w="9525" w14:cap="rnd" w14:cmpd="sng" w14:algn="ctr">
        <w14:noFill/>
        <w14:prstDash w14:val="solid"/>
        <w14:bevel/>
      </w14:textOutline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4086"/>
    <w:pPr>
      <w:keepNext/>
      <w:keepLines/>
      <w:spacing w:line="360" w:lineRule="auto"/>
      <w:jc w:val="center"/>
      <w:outlineLvl w:val="1"/>
    </w:pPr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4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99"/>
    <w:unhideWhenUsed/>
    <w:rsid w:val="00414086"/>
    <w:pPr>
      <w:widowControl w:val="0"/>
      <w:suppressAutoHyphens/>
      <w:spacing w:before="240" w:after="360"/>
    </w:pPr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086"/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14086"/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customStyle="1" w:styleId="Nagwek1Znak">
    <w:name w:val="Nagłówek 1 Znak"/>
    <w:basedOn w:val="Domylnaczcionkaakapitu"/>
    <w:link w:val="Nagwek1"/>
    <w:rsid w:val="00414086"/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  <w14:textOutline w14:w="9525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9C61E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ED"/>
  </w:style>
  <w:style w:type="paragraph" w:styleId="Stopka">
    <w:name w:val="footer"/>
    <w:basedOn w:val="Normalny"/>
    <w:link w:val="StopkaZnak"/>
    <w:unhideWhenUsed/>
    <w:rsid w:val="009C61E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1ED"/>
  </w:style>
  <w:style w:type="paragraph" w:styleId="Tekstdymka">
    <w:name w:val="Balloon Text"/>
    <w:basedOn w:val="Normalny"/>
    <w:link w:val="TekstdymkaZnak"/>
    <w:uiPriority w:val="99"/>
    <w:semiHidden/>
    <w:unhideWhenUsed/>
    <w:rsid w:val="009C61E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ED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0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12E7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12E7B"/>
    <w:rPr>
      <w:rFonts w:ascii="Times New Roman" w:eastAsia="Times New Roman" w:hAnsi="Times New Roman" w:cs="Times New Roman"/>
      <w:b/>
      <w:szCs w:val="20"/>
    </w:rPr>
  </w:style>
  <w:style w:type="paragraph" w:styleId="Listapunktowana">
    <w:name w:val="List Bullet"/>
    <w:basedOn w:val="Normalny"/>
    <w:rsid w:val="00012E7B"/>
    <w:pPr>
      <w:numPr>
        <w:numId w:val="2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uiPriority w:val="99"/>
    <w:rsid w:val="002228FC"/>
    <w:pPr>
      <w:widowControl/>
      <w:spacing w:before="0" w:after="0"/>
      <w:jc w:val="center"/>
    </w:pPr>
    <w:rPr>
      <w:rFonts w:ascii="Arial" w:eastAsia="Times New Roman" w:hAnsi="Arial" w:cs="Arial"/>
      <w:b/>
      <w:bCs/>
      <w:color w:val="auto"/>
      <w:sz w:val="20"/>
      <w:szCs w:val="20"/>
      <w:lang w:eastAsia="pl-PL" w:bidi="ar-SA"/>
    </w:rPr>
  </w:style>
  <w:style w:type="paragraph" w:customStyle="1" w:styleId="Standard">
    <w:name w:val="Standard"/>
    <w:rsid w:val="00AD3D8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4B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4BC6"/>
  </w:style>
  <w:style w:type="character" w:customStyle="1" w:styleId="Nagwek3Znak">
    <w:name w:val="Nagłówek 3 Znak"/>
    <w:basedOn w:val="Domylnaczcionkaakapitu"/>
    <w:link w:val="Nagwek3"/>
    <w:uiPriority w:val="9"/>
    <w:rsid w:val="005A4B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qFormat/>
    <w:rsid w:val="00C274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7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4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4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43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82AAC"/>
    <w:rPr>
      <w:rFonts w:eastAsiaTheme="minorHAnsi"/>
      <w:sz w:val="22"/>
      <w:szCs w:val="22"/>
    </w:rPr>
  </w:style>
  <w:style w:type="paragraph" w:customStyle="1" w:styleId="Styl2">
    <w:name w:val="Styl2"/>
    <w:basedOn w:val="Normalny"/>
    <w:rsid w:val="00FF6AE5"/>
    <w:pPr>
      <w:numPr>
        <w:numId w:val="4"/>
      </w:numPr>
      <w:spacing w:before="60"/>
    </w:pPr>
    <w:rPr>
      <w:rFonts w:ascii="Times New Roman" w:eastAsia="Times New Roman" w:hAnsi="Times New Roman" w:cs="Times New Roman"/>
      <w:b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7907AE68FF64F97147C7228D921F1" ma:contentTypeVersion="13" ma:contentTypeDescription="Utwórz nowy dokument." ma:contentTypeScope="" ma:versionID="b19e5b6185c219e93d36b480d17bdf01">
  <xsd:schema xmlns:xsd="http://www.w3.org/2001/XMLSchema" xmlns:xs="http://www.w3.org/2001/XMLSchema" xmlns:p="http://schemas.microsoft.com/office/2006/metadata/properties" xmlns:ns3="81cb438e-d6ca-4ccb-a200-7fdde3b6e59d" xmlns:ns4="be6c75dc-55a9-487a-8a53-086cd4ecd771" targetNamespace="http://schemas.microsoft.com/office/2006/metadata/properties" ma:root="true" ma:fieldsID="071f809e9157947ba25bc580488d9914" ns3:_="" ns4:_="">
    <xsd:import namespace="81cb438e-d6ca-4ccb-a200-7fdde3b6e59d"/>
    <xsd:import namespace="be6c75dc-55a9-487a-8a53-086cd4ecd7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438e-d6ca-4ccb-a200-7fdde3b6e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c75dc-55a9-487a-8a53-086cd4ecd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BE723-9371-44F9-B4F9-1EECA2E3E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DD2B3-BC54-40A1-AE05-12239AF99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B2065-43AD-4640-89C9-F37BAD658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65023F-3BE4-4CE9-AF81-0E6490C02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b438e-d6ca-4ccb-a200-7fdde3b6e59d"/>
    <ds:schemaRef ds:uri="be6c75dc-55a9-487a-8a53-086cd4ecd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2107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Goodmedia</Company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Kordaczuk</dc:creator>
  <cp:lastModifiedBy>Paulina Gruszka</cp:lastModifiedBy>
  <cp:revision>40</cp:revision>
  <cp:lastPrinted>2016-01-11T10:05:00Z</cp:lastPrinted>
  <dcterms:created xsi:type="dcterms:W3CDTF">2021-11-17T14:53:00Z</dcterms:created>
  <dcterms:modified xsi:type="dcterms:W3CDTF">2022-10-25T17:45:00Z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0x0101003647907AE68FF64F97147C7228D921F1</vt:lpwstr>
  </property>
</Properties>
</file>